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Доклад об основных направлениях и результатах деятельности</w:t>
      </w:r>
    </w:p>
    <w:p>
      <w:pPr>
        <w:pStyle w:val="Normal"/>
        <w:keepNext w:val="true"/>
        <w:keepLines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Управления Федеральной антимонопольной службы</w:t>
      </w:r>
    </w:p>
    <w:p>
      <w:pPr>
        <w:pStyle w:val="Normal"/>
        <w:keepNext w:val="true"/>
        <w:keepLines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bookmarkStart w:id="0" w:name="bookmark0"/>
      <w:r>
        <w:rPr>
          <w:rFonts w:cs="Times New Roman" w:ascii="Times New Roman" w:hAnsi="Times New Roman"/>
          <w:b/>
          <w:sz w:val="26"/>
          <w:szCs w:val="26"/>
        </w:rPr>
        <w:t>по Саратовской области за истекший период 2022 год</w:t>
      </w:r>
      <w:bookmarkEnd w:id="0"/>
      <w:r>
        <w:rPr>
          <w:rFonts w:cs="Times New Roman" w:ascii="Times New Roman" w:hAnsi="Times New Roman"/>
          <w:b/>
          <w:sz w:val="26"/>
          <w:szCs w:val="26"/>
        </w:rPr>
        <w:t>а</w:t>
      </w:r>
    </w:p>
    <w:p>
      <w:pPr>
        <w:pStyle w:val="21"/>
        <w:shd w:val="clear" w:color="auto" w:fill="auto"/>
        <w:spacing w:lineRule="auto" w:line="240"/>
        <w:rPr/>
      </w:pPr>
      <w:r>
        <w:rPr/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Саратовское УФАС России в соответствии с возложенными полномочиями осуществляет контроль за соблюдением антимонопольного законодательства, законодательства о рекламе, а также контроль в сфере закупок.</w:t>
      </w:r>
    </w:p>
    <w:p>
      <w:pPr>
        <w:pStyle w:val="21"/>
        <w:ind w:firstLine="709"/>
        <w:rPr/>
      </w:pPr>
      <w:r>
        <w:rPr/>
        <w:t xml:space="preserve">За истекший период 2022 года </w:t>
      </w:r>
      <w:r>
        <w:rPr>
          <w:lang w:val="en-US"/>
        </w:rPr>
        <w:t>(</w:t>
      </w:r>
      <w:r>
        <w:rPr>
          <w:lang w:val="ru-RU"/>
        </w:rPr>
        <w:t xml:space="preserve">по состоянию на 23.11.2022) </w:t>
      </w:r>
      <w:r>
        <w:rPr/>
        <w:t>в антимонопольный орган поступило 857 заявлений и жалоб, по которым приняты соответствующие процессуальные решения.</w:t>
      </w:r>
    </w:p>
    <w:tbl>
      <w:tblPr>
        <w:tblpPr w:bottomFromText="0" w:horzAnchor="margin" w:leftFromText="180" w:rightFromText="180" w:tblpX="0" w:tblpY="309" w:topFromText="0" w:vertAnchor="text"/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38"/>
        <w:gridCol w:w="2307"/>
      </w:tblGrid>
      <w:tr>
        <w:trPr>
          <w:trHeight w:val="412" w:hRule="atLeast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Статистика</w:t>
            </w:r>
          </w:p>
        </w:tc>
      </w:tr>
      <w:tr>
        <w:trPr>
          <w:trHeight w:val="418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2022 год</w:t>
            </w:r>
          </w:p>
        </w:tc>
      </w:tr>
      <w:tr>
        <w:trPr>
          <w:trHeight w:val="563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поступило заявлений о нарушении Закона о защите конкуренции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</w:t>
            </w:r>
          </w:p>
        </w:tc>
      </w:tr>
      <w:tr>
        <w:trPr>
          <w:trHeight w:val="563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поступило заявлений о нарушении Закона о рекламе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</w:tr>
      <w:tr>
        <w:trPr>
          <w:trHeight w:val="563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рассмотрено дел о нарушении Закона о защите конкуренции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>
        <w:trPr>
          <w:trHeight w:val="563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выдано предписаний по делам о нарушении Закона о защите конкуренции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>
        <w:trPr>
          <w:trHeight w:val="557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 выдано предупреждений по признакам нарушения Закона о защите конкуренции 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>
        <w:trPr>
          <w:trHeight w:val="557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выдано предостережений по признакам нарушения Закона о защите конкуренции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>
        <w:trPr>
          <w:trHeight w:val="557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рассмотрено дел о нарушении Закона о рекламе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</w:tr>
      <w:tr>
        <w:trPr>
          <w:trHeight w:val="557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выдано предписаний по делам о нарушении Закона о рекламе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>
        <w:trPr>
          <w:trHeight w:val="557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поступило жалоб в соответствии со ст. 18.1 Закона о защите конкуренции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267</w:t>
            </w:r>
          </w:p>
        </w:tc>
      </w:tr>
      <w:tr>
        <w:trPr>
          <w:trHeight w:val="557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рассмотрено жалоб в соответствии со ст. 18.1 Закона о защите конкуренции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</w:tr>
      <w:tr>
        <w:trPr>
          <w:trHeight w:val="557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выдано предписаний в соответствии со ст. 18.1 Закона о защите конкуренции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>
        <w:trPr>
          <w:trHeight w:val="557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поступило жалоб в соответствии о нарушении Закона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контрактной системе 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</w:t>
            </w:r>
          </w:p>
        </w:tc>
      </w:tr>
      <w:tr>
        <w:trPr>
          <w:trHeight w:val="557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рассмотрено жалоб в соответствии о нарушении Закона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контрактной системе 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</w:t>
            </w:r>
          </w:p>
        </w:tc>
      </w:tr>
      <w:tr>
        <w:trPr>
          <w:trHeight w:val="557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выдано предписаний по Закону о контрактной системе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>
        <w:trPr>
          <w:trHeight w:val="557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 проведено проверок по Закону о контрактной системе 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353</w:t>
            </w:r>
          </w:p>
        </w:tc>
      </w:tr>
      <w:tr>
        <w:trPr>
          <w:trHeight w:val="521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Вынесено постановлений по делам об административных правонарушениях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408</w:t>
            </w:r>
          </w:p>
        </w:tc>
      </w:tr>
      <w:tr>
        <w:trPr>
          <w:trHeight w:val="521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наложенных штрафов (млн рублей)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4,7</w:t>
            </w:r>
          </w:p>
        </w:tc>
      </w:tr>
      <w:tr>
        <w:trPr>
          <w:trHeight w:val="521" w:hRule="atLeast"/>
        </w:trPr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взысканных штрафов (млн рублей)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</w:tr>
    </w:tbl>
    <w:p>
      <w:pPr>
        <w:pStyle w:val="21"/>
        <w:ind w:firstLine="709"/>
        <w:rPr/>
      </w:pPr>
      <w:r>
        <w:rPr/>
      </w:r>
    </w:p>
    <w:p>
      <w:pPr>
        <w:pStyle w:val="21"/>
        <w:ind w:firstLine="709"/>
        <w:rPr>
          <w:rStyle w:val="2"/>
        </w:rPr>
      </w:pPr>
      <w:r>
        <w:rPr/>
      </w:r>
    </w:p>
    <w:p>
      <w:pPr>
        <w:pStyle w:val="21"/>
        <w:ind w:firstLine="709"/>
        <w:jc w:val="center"/>
        <w:rPr>
          <w:rStyle w:val="2"/>
          <w:sz w:val="26"/>
          <w:szCs w:val="26"/>
        </w:rPr>
      </w:pPr>
      <w:bookmarkStart w:id="1" w:name="bookmark1"/>
      <w:r>
        <w:rPr>
          <w:rStyle w:val="2"/>
          <w:sz w:val="26"/>
          <w:szCs w:val="26"/>
        </w:rPr>
        <w:t>Антимонопольный контроль</w:t>
      </w:r>
      <w:bookmarkEnd w:id="1"/>
    </w:p>
    <w:p>
      <w:pPr>
        <w:pStyle w:val="21"/>
        <w:ind w:firstLine="709"/>
        <w:rPr/>
      </w:pPr>
      <w:r>
        <w:rPr/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 xml:space="preserve">В 2022 году было рассмотрено 9 дел о нарушении Федерального закона от 26.07.2006 № 135-ФЗ «О защите конкуренции» (далее - Закон о защите конкуренции): 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- по статье 10 (запрет на злоупотребление хозяйствующим субъектом доминирующим положением) рассмотрено 4 дела, признано 3 нарушения, выдано 1 предписание, которое было исполнено.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- по статье 14.6 (запрет на недобросовестную конкуренцию, связанную с созданием смешения) рассмотрено 1 дело, которое было прекращено.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- по статье 15 (запрет на ограничивающие конкуренцию действия или бездействие органов власти, местного самоуправления) рассмотрено 2 дела, признано 2 нарушения, выдано 1 предписание, которое находится в стадии исполнения;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 xml:space="preserve">- по статье 16 (запрет на ограничивающие конкуренцию соглашения или согласованные действия органов власти, местного самоуправления и хозяйствующих субъектов) рассмотрено 1 дело, признано 1 нарушение; 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 xml:space="preserve">- по статье 17 (антимонопольные требования к торгам) рассмотрено 1 дело, признано 1 нарушение. 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</w:r>
    </w:p>
    <w:p>
      <w:pPr>
        <w:pStyle w:val="21"/>
        <w:shd w:val="clear" w:color="auto" w:fill="auto"/>
        <w:spacing w:lineRule="auto" w:line="240"/>
        <w:ind w:firstLine="709"/>
        <w:rPr>
          <w:b/>
          <w:b/>
          <w:i/>
          <w:i/>
        </w:rPr>
      </w:pPr>
      <w:r>
        <w:rPr>
          <w:b/>
          <w:bCs/>
          <w:i/>
          <w:color w:val="000000"/>
        </w:rPr>
        <w:t>Нарушения хо</w:t>
      </w:r>
      <w:r>
        <w:rPr>
          <w:b/>
          <w:i/>
        </w:rPr>
        <w:t>зяйствующими субъектами установленных запретов на злоупотреблением доминирующим положением.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МКУ «ТеплоВодоРесурс» признано нарушившим п. 1 ч. 1 ст. 10 Закона о защите конкуренции.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Нарушение выразилось в установлении и поддержании монопольно высокой цены на услуги по теплоснабжению конечного потребителя тепловой энергией в 2020 году. По результатам рассмотрения дела МКУ «ТеплоВодоРесурс»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выдано предписание о совершении действий, направленных на обеспечение конкуренции, которое МКУ «ТеплоВодоРесурс» исполнило, предложив заключить контракт по цене </w:t>
      </w:r>
      <w:r>
        <w:rPr>
          <w:rFonts w:eastAsia="Calibri" w:cs="Times New Roman" w:ascii="Times New Roman" w:hAnsi="Times New Roman"/>
          <w:sz w:val="26"/>
          <w:szCs w:val="26"/>
        </w:rPr>
        <w:t>на 13,5 % менее ранее предложенной.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Основанием к рассмотрению дела послужило заявление ЖКС № 12 ФГБУ ЦЖКУ Минобороны России по ЦВО. Предлагаемая договорная цена на 2020 год МКУ «ТеплоВодоРесурс» превышала действующий тариф более чем на 80%.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Комиссией Саратовского УФАС России проанализированы затраты предприятия, часть из которых не была экономически обоснована, например расходы на электроэнергию. Стоимость расходов на оплату труда на 2020 год у МКУ «ТеплоВодоРесурс» была на 14,65% выше, чем у лица, ранее эксплуатирующего тот же имущественный комплекс, который содержал на 2 котельные больше, в связи с чем расходы на оплату труда для персонала для МКУ «ТеплоВодоРесурс» не являлись обоснованными.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Цены иных ресурсноснабжающих организаций на поставку тепловой энергии в 2020 году, по которым не осуществляется государственное регулирование, были установлены в меньшем размере, чем у МКУ «ТеплоВодоРесурс».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МКУ «ТеплоВодоРесурс» привлечено к административной ответственности по ч. 2 ст. 14.31 КоАП РФ в виде штрафа в размере 67 018, 22 рублей.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2. ООО «КВС» признано нарушившим п. 4 ч. 1 ст. 10 Закона о защите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конкуренции.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Нарушение выразилось в прекращении бесперебойной подачи</w:t>
      </w:r>
      <w:r>
        <w:rPr>
          <w:rFonts w:eastAsia="Calibri" w:cs="Times New Roman" w:ascii="Times New Roman" w:hAnsi="Times New Roman"/>
          <w:sz w:val="26"/>
          <w:szCs w:val="26"/>
        </w:rPr>
        <w:t xml:space="preserve"> водоснабжения в Приход во имя святителя Митрофания Воронежского, кафе «Катюша», магазин «Акварель» и отказом от его восстановления</w:t>
      </w:r>
      <w:r>
        <w:rPr>
          <w:rFonts w:cs="Times New Roman" w:ascii="Times New Roman" w:hAnsi="Times New Roman"/>
          <w:sz w:val="26"/>
          <w:szCs w:val="26"/>
        </w:rPr>
        <w:t>. Предписание ООО «КВС» не выдавалось в связи с восстановлением водоснабжения.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Основанием к рассмотрению дела послужили материалы, направленные прокуратурой Фрунзенского района г. Саратова.</w:t>
      </w:r>
    </w:p>
    <w:p>
      <w:pPr>
        <w:pStyle w:val="ListParagraph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ходе рассмотрения дела </w:t>
      </w:r>
      <w:r>
        <w:rPr>
          <w:rFonts w:eastAsia="Calibri" w:cs="Times New Roman" w:ascii="Times New Roman" w:hAnsi="Times New Roman"/>
          <w:sz w:val="26"/>
          <w:szCs w:val="26"/>
        </w:rPr>
        <w:t>установлено</w:t>
      </w:r>
      <w:r>
        <w:rPr>
          <w:rFonts w:cs="Times New Roman" w:ascii="Times New Roman" w:hAnsi="Times New Roman"/>
          <w:sz w:val="26"/>
          <w:szCs w:val="26"/>
        </w:rPr>
        <w:t>, что ООО «КВС» было обязано произвести работы по аварийно-восстановительному ремонту водопровода, что предусмотрено Правилами технической эксплуатации систем и сооружений коммунального водоснабжения и канализации, утвержденными Приказом Госстроя РФ от 30.12.1999 № 168, и Договором холодного водоснабжения и водоотведения. Однако ООО «КВС» указанную обязанность не исполнило, пытаясь переложить обязанность по ремонту водопровода на Приход, владельцев магазина «Акварель» и кафе «Катюша», в связи с чем подача холодного водоснабжения в отношении указанных лиц в течении трех месяцев не осуществлялась.</w:t>
      </w:r>
    </w:p>
    <w:p>
      <w:pPr>
        <w:pStyle w:val="ListParagraph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настоящее время в отношении ООО «КВС» возбуждено дело об административном правонарушении по ч. 2 ст. 14.31 КоАП РФ.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3. ООО «СПГЭС» </w:t>
      </w:r>
      <w:r>
        <w:rPr>
          <w:rFonts w:cs="Times New Roman" w:ascii="Times New Roman" w:hAnsi="Times New Roman"/>
          <w:sz w:val="26"/>
          <w:szCs w:val="26"/>
        </w:rPr>
        <w:t>признано нарушившим п. 4 ч. 1 ст. 10 Закона о защите конкуренции.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Нарушение выразилось </w:t>
      </w:r>
      <w:r>
        <w:rPr>
          <w:rFonts w:cs="Times New Roman" w:ascii="Times New Roman" w:hAnsi="Times New Roman"/>
          <w:sz w:val="26"/>
          <w:szCs w:val="26"/>
        </w:rPr>
        <w:t>в незаконном ограничении поставки электроэнергии в нежилое помещение при условии фактически сложившихся договорных отношений между гарантирующим поставщиком и заявителем.  Предписание ООО «СПГЭС» не выдавалось в связи с возобновлением подачи электрической энергии.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ходе рассмотрения дела было установлено, что ООО «СПГЭС» </w:t>
      </w:r>
      <w:r>
        <w:rPr>
          <w:rFonts w:eastAsia="Times New Roman" w:cs="Times New Roman" w:ascii="Times New Roman" w:hAnsi="Times New Roman"/>
          <w:sz w:val="26"/>
          <w:szCs w:val="26"/>
        </w:rPr>
        <w:t>незаконно ограничило поставку электроэнергии в нежилое помещение.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Кроме того, ООО «СПГЭС» в нарушение Регламента взаимодействия Исполнителя и Заказчика по введению режима потребления, предусмотренному договором оказания услуг по передаче электрической энергии, заключенным с ЗАО «СПГЭС», направило уведомление о введении ограничения режима потребления электрической энергии ранее даты проведения осмотра прибора учета, в котором Заявитель фигурировал как новый собственник нежилого помещения.</w:t>
      </w:r>
    </w:p>
    <w:p>
      <w:pPr>
        <w:pStyle w:val="ListParagraph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ноябре 2022 ООО «СПГЭС» привлечено к административной ответственности по ч. 1 ст. 14.31 КоАП РФ в виде штрафа в размере 387 500 рублей. </w:t>
      </w:r>
    </w:p>
    <w:p>
      <w:pPr>
        <w:pStyle w:val="ListParagraph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</w:rPr>
        <w:t>Примеры выданных предупреждений по признакам нарушений по навязыванию невыгодных условий договора и отказу от заключения договора:</w:t>
      </w:r>
    </w:p>
    <w:p>
      <w:pPr>
        <w:pStyle w:val="21"/>
        <w:spacing w:lineRule="auto" w:line="240"/>
        <w:ind w:firstLine="709"/>
        <w:rPr/>
      </w:pPr>
      <w:r>
        <w:rPr>
          <w:b/>
          <w:i/>
        </w:rPr>
        <w:t xml:space="preserve">- на рынке энергоснабжения </w:t>
      </w:r>
      <w:r>
        <w:rPr/>
        <w:t>Саратовское УФАС России предупредило ПАО «Саратовэнерго» и ООО «СПГЭС» о прекращении действий, содержащих признаки нарушения пункта 3 части 1 статьи 10 Закона о защите конкуренции.</w:t>
      </w:r>
    </w:p>
    <w:p>
      <w:pPr>
        <w:pStyle w:val="21"/>
        <w:spacing w:lineRule="auto" w:line="240"/>
        <w:ind w:firstLine="709"/>
        <w:rPr/>
      </w:pPr>
      <w:r>
        <w:rPr/>
        <w:t>1) ПАО «Саратовэнерго», введя заочный способ обслуживания потребителей по предварительной записи, ограничило прием платежей от потребителей непосредственно в ПАО «Саратовэнерго», как исполнителя коммунальной услуги по электроснабжению на территории г. Балашова, в связи с чем потребитель вынужден вносить платежи с комиссией через банковских платежных агентов.</w:t>
      </w:r>
    </w:p>
    <w:p>
      <w:pPr>
        <w:pStyle w:val="21"/>
        <w:spacing w:lineRule="auto" w:line="240"/>
        <w:ind w:firstLine="709"/>
        <w:rPr/>
      </w:pPr>
      <w:r>
        <w:rPr/>
        <w:t>Ограничение прав потребителей по внесению платы за коммунальную услугу по электроснабжению непосредственно исполнителю услуги - ПАО «Саратовэнерго» приводит к ограничению, ущемлению интересов неопределенного круга потребителей, является незаконным и противоречит нормам действующего законодательства.</w:t>
      </w:r>
    </w:p>
    <w:p>
      <w:pPr>
        <w:pStyle w:val="21"/>
        <w:spacing w:lineRule="auto" w:line="240"/>
        <w:ind w:firstLine="709"/>
        <w:rPr/>
      </w:pPr>
      <w:r>
        <w:rPr/>
        <w:t>Согласно предупреждению ПАО «Саратовэнерго» должно было снять ограничения в виде предварительной записи по приему платежей за оплату коммунальных услуг от потребителей непосредственно ПАО «Саратовэнерго» на территории г. Балашова. Предупреждение исполнено.</w:t>
      </w:r>
    </w:p>
    <w:p>
      <w:pPr>
        <w:pStyle w:val="21"/>
        <w:numPr>
          <w:ilvl w:val="0"/>
          <w:numId w:val="2"/>
        </w:numPr>
        <w:spacing w:lineRule="auto" w:line="240"/>
        <w:ind w:left="0" w:firstLine="709"/>
        <w:rPr/>
      </w:pPr>
      <w:r>
        <w:rPr/>
        <w:t>ПАО «Саратовэнерго» установило в договоре, заключенном с ГУЗ СО «Духовницкая районная больница», невыгодное для последнего условие, в соответствии с которым при просрочке оплаты необходимо было уплатить штрафную неустойку в виде пени в размере 0,5 % от неоплаченной или несвоевременно оплаченной суммы за каждый день просрочки.</w:t>
      </w:r>
    </w:p>
    <w:p>
      <w:pPr>
        <w:pStyle w:val="21"/>
        <w:spacing w:lineRule="auto" w:line="240"/>
        <w:ind w:firstLine="709"/>
        <w:rPr/>
      </w:pPr>
      <w:r>
        <w:rPr/>
        <w:t>Однако, согласно Закону об электроэнергетике данная штрафная неустойка подлежит оплате в размере 1/130 ставки рефинансирования Центрального банка Российской Федерации, действующей на дату уплаты пеней, от не выплаченной в срок суммы.</w:t>
      </w:r>
    </w:p>
    <w:p>
      <w:pPr>
        <w:pStyle w:val="21"/>
        <w:spacing w:lineRule="auto" w:line="240"/>
        <w:ind w:firstLine="709"/>
        <w:rPr/>
      </w:pPr>
      <w:r>
        <w:rPr/>
        <w:t>При ставке рефинансирования Центрального банка Российской Федерации 7,5% должна применяться штрафная неустойка в размере 0,05 %.</w:t>
      </w:r>
    </w:p>
    <w:p>
      <w:pPr>
        <w:pStyle w:val="21"/>
        <w:spacing w:lineRule="auto" w:line="240"/>
        <w:ind w:firstLine="709"/>
        <w:rPr/>
      </w:pPr>
      <w:r>
        <w:rPr/>
        <w:t>Установление в Договоре, а также в типовой форме договоров энергоснабжения требования об уплате Потребителем при просрочке оплаты Поставщику штрафной неустойки в размере 0,5 % от неоплаченной или несвоевременно оплаченной суммы за каждый день просрочки является неправомерным.</w:t>
      </w:r>
    </w:p>
    <w:p>
      <w:pPr>
        <w:pStyle w:val="21"/>
        <w:spacing w:lineRule="auto" w:line="240"/>
        <w:ind w:firstLine="709"/>
        <w:rPr/>
      </w:pPr>
      <w:r>
        <w:rPr/>
        <w:t>Согласно предупреждению ПАО «Саратовэнерго» должно было привести положения типового договора на энергоснабжение в соответствие с требованиями Закона об электроэнергетике и направить ГУЗ СО «Духовницкая РБ» дополнительное соглашения в целях приведения Договора в соответствие с требованиями Закона об электроэнергетике. Предупреждение находится в стадии исполнения.</w:t>
      </w:r>
    </w:p>
    <w:p>
      <w:pPr>
        <w:pStyle w:val="21"/>
        <w:numPr>
          <w:ilvl w:val="0"/>
          <w:numId w:val="2"/>
        </w:numPr>
        <w:spacing w:lineRule="auto" w:line="240"/>
        <w:ind w:left="0" w:firstLine="851"/>
        <w:rPr/>
      </w:pPr>
      <w:r>
        <w:rPr/>
        <w:t>ООО «СПГЭС» навязывало новому собственнику нежилого помещения дополнительную плату за переоформление договора энергоснабжения.</w:t>
      </w:r>
    </w:p>
    <w:p>
      <w:pPr>
        <w:pStyle w:val="21"/>
        <w:spacing w:lineRule="auto" w:line="240"/>
        <w:ind w:firstLine="851"/>
        <w:rPr/>
      </w:pPr>
      <w:r>
        <w:rPr/>
        <w:t>Признаки нарушения содержатся в действиях по изданию приказа об утверждении тарифов на разовые услуги, оказываемые ООО «СПГЭС» физическим лицам, предпринимателям и юридическим лицам. За плату данным лицам предлагалось существенно снизить сроки оказания услуг.</w:t>
      </w:r>
    </w:p>
    <w:p>
      <w:pPr>
        <w:pStyle w:val="21"/>
        <w:spacing w:lineRule="auto" w:line="240"/>
        <w:ind w:firstLine="709"/>
        <w:rPr/>
      </w:pPr>
      <w:r>
        <w:rPr/>
        <w:t>Так, за переоформление в десятидневный срок договора энергоснабжения (купли-продажи) в случае смены владельца помещения необходимо было заплатить 2 375,00 рублей при наличии актов об осуществлении технологического присоединения, а при их отсутствии – 2 666,67 рублей.</w:t>
      </w:r>
    </w:p>
    <w:p>
      <w:pPr>
        <w:pStyle w:val="21"/>
        <w:spacing w:lineRule="auto" w:line="240"/>
        <w:ind w:firstLine="709"/>
        <w:rPr/>
      </w:pPr>
      <w:r>
        <w:rPr/>
        <w:t>Между тем, Основными положениями функционирования розничных рынков электрической энергии, утвержденными постановлением Правительства РФ от 04.05.2012 № 442, взимание платы за указанные услуги не предусмотрено.</w:t>
      </w:r>
    </w:p>
    <w:p>
      <w:pPr>
        <w:pStyle w:val="21"/>
        <w:spacing w:lineRule="auto" w:line="240"/>
        <w:ind w:firstLine="709"/>
        <w:rPr/>
      </w:pPr>
      <w:r>
        <w:rPr/>
        <w:t>Согласно предупреждению ООО «СПГЭС» необходимо привести приказ директора ООО «СПГЭС» в соответствие с действующим законодательством, исключив взимание платы за переоформление договора энергоснабжения. Предупреждение исполнено.</w:t>
      </w:r>
    </w:p>
    <w:p>
      <w:pPr>
        <w:pStyle w:val="21"/>
        <w:spacing w:lineRule="auto" w:line="240"/>
        <w:ind w:firstLine="709"/>
        <w:rPr>
          <w:color w:val="000000"/>
          <w:shd w:fill="FFFFFF" w:val="clear"/>
        </w:rPr>
      </w:pPr>
      <w:r>
        <w:rPr>
          <w:b/>
          <w:i/>
        </w:rPr>
        <w:t xml:space="preserve">- на рынке оказания услуг по предоставлению мест на опорах под размещение открытых запасов волоконно-оптического кабеля </w:t>
      </w:r>
      <w:r>
        <w:rPr>
          <w:color w:val="000000"/>
          <w:shd w:fill="FFFFFF" w:val="clear"/>
        </w:rPr>
        <w:t xml:space="preserve">Саратовским УФАС России в ходе рассмотрения коллективных заявлений провайдеров связи установлено, что владельцами опор </w:t>
      </w:r>
      <w:r>
        <w:rPr>
          <w:rStyle w:val="Style16"/>
          <w:i w:val="false"/>
          <w:color w:val="000000"/>
          <w:shd w:fill="FFFFFF" w:val="clear"/>
        </w:rPr>
        <w:t>наружного освещения и опор контактной сети</w:t>
      </w:r>
      <w:r>
        <w:rPr>
          <w:rStyle w:val="Style16"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>МУП «Саргорсвет» и МУПП «Саратовгорэлектротранс» навязывали провайдерам связи заключение дополнительных соглашений на предоставление мест под размещение шкафов для запасов волоконно-оптического кабеля, что может повлечь за собой увеличение стоимости услуг связи для конечного потребителя.</w:t>
      </w:r>
    </w:p>
    <w:p>
      <w:pPr>
        <w:pStyle w:val="21"/>
        <w:spacing w:lineRule="auto" w:line="240"/>
        <w:ind w:firstLine="709"/>
        <w:rPr/>
      </w:pPr>
      <w:r>
        <w:rPr/>
        <w:t>МУП «Саргорсвет» и МУПП «Саратовгорэлектротранс» направили в адрес провайдеров связи, осуществляющих деятельность на территории города Саратова, письма, в которых им предписывалось заключить дополнительные соглашения к уже существующим на предоставление мест для размещения технологического оборудования – шкафов для запасов волоконно-оптического кабеля; убрать все открытые запасы волоконно-оптического кабеля в упомянутые шкафы. В письмах указывалось, что размещение данных шкафов на опорах будет оплачиваться согласно утвержденным для МУП «Саргорсвет» и МУПП «Саратовгорэлектротранс» тарифам для размещения технологического оборудования: 6490 и 6900 рублей соответственно за каждое размещенное оборудование. Вместе с тем, шкафы для запасов волоконно-оптического кабеля не являются технологическим оборудованием.</w:t>
      </w:r>
    </w:p>
    <w:p>
      <w:pPr>
        <w:pStyle w:val="21"/>
        <w:spacing w:lineRule="auto" w:line="240"/>
        <w:ind w:firstLine="709"/>
        <w:rPr/>
      </w:pPr>
      <w:r>
        <w:rPr/>
        <w:t>Указанные действия МУП «Саргорсвет» и МУПП «Саратовгорэлектротранс» влекут за собой увеличение в несколько раз расходов провайдеров связи и, как следствие, приведут к увеличению стоимости услуг связи для конечного потребителя.</w:t>
      </w:r>
    </w:p>
    <w:p>
      <w:pPr>
        <w:pStyle w:val="21"/>
        <w:spacing w:lineRule="auto" w:line="240"/>
        <w:ind w:firstLine="709"/>
        <w:rPr/>
      </w:pPr>
      <w:r>
        <w:rPr/>
        <w:t>Кроме того, действующим законодательством Российской Федерации не предусмотрено обязательное размещение открытых запасов волоконно-оптического кабеля на опорах исключительно в шкафах.</w:t>
      </w:r>
    </w:p>
    <w:p>
      <w:pPr>
        <w:pStyle w:val="21"/>
        <w:spacing w:lineRule="auto" w:line="240"/>
        <w:ind w:firstLine="709"/>
        <w:rPr/>
      </w:pPr>
      <w:r>
        <w:rPr/>
        <w:t>Согласно предупреждениям МУП «Саргорсвет» и МУПП «Саратовгорэлектротранс» должны были совершить действия, направленные на обеспечение конкуренции, а именно отозвать указанные письма. Предупреждения исполнены.</w:t>
      </w:r>
    </w:p>
    <w:p>
      <w:pPr>
        <w:pStyle w:val="21"/>
        <w:spacing w:lineRule="auto" w:line="240"/>
        <w:ind w:firstLine="709"/>
        <w:rPr/>
      </w:pPr>
      <w:r>
        <w:rPr>
          <w:b/>
          <w:i/>
        </w:rPr>
        <w:t xml:space="preserve">- на рынке оказания услуг по обращению с твердыми коммунальными отходами </w:t>
      </w:r>
      <w:r>
        <w:rPr/>
        <w:t>Саратовское УФАС России предупредило АО «Ситиматик» о прекращении действий, содержащих признаки нарушения пунктов 3 и 5 части 1 статьи 10 Закона о защите конкуренции.</w:t>
      </w:r>
    </w:p>
    <w:p>
      <w:pPr>
        <w:pStyle w:val="21"/>
        <w:spacing w:lineRule="auto" w:line="240"/>
        <w:ind w:firstLine="709"/>
        <w:rPr/>
      </w:pPr>
      <w:r>
        <w:rPr/>
        <w:t>1) АО «Ситиматик» направило в адрес индивидуального предпринимателя соглашение о расторжении договора на оказание услуг по обращению с ТКО, что в будущем может привести к возможности прекращения предоставления услуги по обращению с ТКО.</w:t>
      </w:r>
    </w:p>
    <w:p>
      <w:pPr>
        <w:pStyle w:val="21"/>
        <w:spacing w:lineRule="auto" w:line="240"/>
        <w:ind w:firstLine="709"/>
        <w:rPr/>
      </w:pPr>
      <w:r>
        <w:rPr/>
        <w:t>По смыслу пункта 2 статьи 310, пункта 3 статьи 426, статьи 450.1 Гражданского кодекса Российской Федерации, не связанный с нарушением со стороны потребителя односторонний отказ лица, обязанного заключить публичный договор, от исполнения публичного договора не допускается.</w:t>
      </w:r>
    </w:p>
    <w:p>
      <w:pPr>
        <w:pStyle w:val="21"/>
        <w:spacing w:lineRule="auto" w:line="240"/>
        <w:ind w:firstLine="709"/>
        <w:rPr/>
      </w:pPr>
      <w:r>
        <w:rPr/>
        <w:t>Таким образом, в соответствии с действующим законодательством, инициатива расторжения такого договора не может исходить от регионального оператора по обращению с ТКО.</w:t>
      </w:r>
    </w:p>
    <w:p>
      <w:pPr>
        <w:pStyle w:val="21"/>
        <w:shd w:val="clear" w:color="auto" w:fill="auto"/>
        <w:spacing w:lineRule="auto" w:line="24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Согласно выданному предупреждению АО «Ситиматик» направило   индивидуальному предпринимателю письмо о признании несогласованным соглашения о расторжении договора на оказание услуг по обращению с ТКО. </w:t>
      </w:r>
    </w:p>
    <w:p>
      <w:pPr>
        <w:pStyle w:val="21"/>
        <w:numPr>
          <w:ilvl w:val="0"/>
          <w:numId w:val="3"/>
        </w:numPr>
        <w:spacing w:lineRule="auto" w:line="240"/>
        <w:ind w:left="0" w:firstLine="709"/>
        <w:rPr/>
      </w:pPr>
      <w:bookmarkStart w:id="2" w:name="_GoBack"/>
      <w:bookmarkEnd w:id="2"/>
      <w:r>
        <w:rPr/>
        <w:t>Саратовское УФАС России предупредило АО «Ситиматик» о недопустимости уклонения от заключения дополнительного соглашения к договору с торговой сетью «Светофор» (ООО «Торгсервис 64») на оказание услуг по обращению с твердыми коммунальными отходами.</w:t>
      </w:r>
    </w:p>
    <w:p>
      <w:pPr>
        <w:pStyle w:val="21"/>
        <w:spacing w:lineRule="auto" w:line="240"/>
        <w:ind w:firstLine="709"/>
        <w:rPr/>
      </w:pPr>
      <w:r>
        <w:rPr/>
        <w:t>АО «Ситиматик» отказалось заключать дополнительное соглашение на включение нового объекта образования отходов в перечень объектов по договору с торговой сетью «Светофор» в связи с тем, что заявка на его заключение была подана арендатором нежилого помещения, а не его собственником.</w:t>
      </w:r>
    </w:p>
    <w:p>
      <w:pPr>
        <w:pStyle w:val="21"/>
        <w:spacing w:lineRule="auto" w:line="240"/>
        <w:ind w:firstLine="709"/>
        <w:rPr/>
      </w:pPr>
      <w:r>
        <w:rPr/>
        <w:t>Между тем, действующим законодательством, а также условиями договора аренды нежилого помещения не были установлены ограничения на заключение между арендатором и региональным оператором договора на оказание услуг по обращению с твердыми коммунальными отходами, поскольку именно арендатор является собственником твердых коммунальных отходов.</w:t>
      </w:r>
    </w:p>
    <w:p>
      <w:pPr>
        <w:pStyle w:val="21"/>
        <w:spacing w:lineRule="auto" w:line="240"/>
        <w:ind w:firstLine="709"/>
        <w:rPr/>
      </w:pPr>
      <w:r>
        <w:rPr/>
        <w:t>Согласно предупреждению, АО «Ситиматик» должно было совершить действия по заключению договора с ООО «Торгсервис 64» на оказание услуг по обращению твердыми коммунальными отходами. Предупреждение исполнено.</w:t>
      </w:r>
    </w:p>
    <w:p>
      <w:pPr>
        <w:pStyle w:val="21"/>
        <w:spacing w:lineRule="auto" w:line="240"/>
        <w:ind w:firstLine="709"/>
        <w:rPr/>
      </w:pPr>
      <w:r>
        <w:rPr>
          <w:b/>
          <w:i/>
        </w:rPr>
        <w:t xml:space="preserve">- на рынке оказания услуг по техническому обслуживанию и ремонту внутридомового или внутриквартирного газового оборудования </w:t>
      </w:r>
      <w:r>
        <w:rPr/>
        <w:t>Саратовское УФАС России предупредило АО «Саратовгаз» о недопустимости навязывания при заключении договора на техническое обслуживание и ремонт внутридомового или внутриквартирного газового оборудования, условия по расторжению договора, которое противоречит действующему законодательству.</w:t>
      </w:r>
    </w:p>
    <w:p>
      <w:pPr>
        <w:pStyle w:val="21"/>
        <w:spacing w:lineRule="auto" w:line="240"/>
        <w:ind w:firstLine="709"/>
        <w:rPr/>
      </w:pPr>
      <w:r>
        <w:rPr/>
        <w:t>Согласно условиям типового договора АО «Саратовгаз» он может быть расторгнут в судебном порядке в случаях отказа от подписания соглашения об увеличении цены в связи с изменением Прейскуранта АО «Саратовгаз», а также в случае недопуска два и более раза сотрудников газовой службы к оборудованию для проведения технического обслуживания и ремонта.</w:t>
      </w:r>
    </w:p>
    <w:p>
      <w:pPr>
        <w:pStyle w:val="21"/>
        <w:spacing w:lineRule="auto" w:line="240"/>
        <w:ind w:firstLine="709"/>
        <w:rPr/>
      </w:pPr>
      <w:r>
        <w:rPr/>
        <w:t>Между тем установлено, что данные условия не предусмотрены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№ 410.</w:t>
      </w:r>
    </w:p>
    <w:p>
      <w:pPr>
        <w:pStyle w:val="21"/>
        <w:spacing w:lineRule="auto" w:line="240"/>
        <w:ind w:firstLine="709"/>
        <w:rPr/>
      </w:pPr>
      <w:r>
        <w:rPr/>
        <w:t>Согласно предупреждению АО «Саратовгаз» должно было привести положения типового договора на техническое обслуживание и ремонт внутридомового или внутриквартирного газового оборудования в соответствие с требованиями Правил № 410 и направить физическому лицу дополнительное соглашение в целях приведения договора в соответствие с требованиями Правил № 410. Предупреждение исполнено.</w:t>
      </w:r>
    </w:p>
    <w:p>
      <w:pPr>
        <w:pStyle w:val="21"/>
        <w:spacing w:lineRule="auto" w:line="240"/>
        <w:ind w:firstLine="709"/>
        <w:rPr/>
      </w:pPr>
      <w:r>
        <w:rPr>
          <w:b/>
          <w:i/>
        </w:rPr>
        <w:t xml:space="preserve">- на рынке оказания услуг по водоснабжению и водоотведению </w:t>
      </w:r>
      <w:r>
        <w:rPr/>
        <w:t xml:space="preserve">Саратовское УФАС России предупредило ООО «Концессии водоснабжения – Саратов» о недопустимости навязывания </w:t>
      </w:r>
      <w:r>
        <w:rPr>
          <w:color w:val="000000"/>
        </w:rPr>
        <w:t xml:space="preserve">Приходу во имя святителя Митрофания Воронежского </w:t>
      </w:r>
      <w:r>
        <w:rPr/>
        <w:t xml:space="preserve">заключения дополнительного соглашения, </w:t>
      </w:r>
      <w:r>
        <w:rPr>
          <w:color w:val="000000"/>
        </w:rPr>
        <w:t xml:space="preserve">возлагающего на него обязанность по обслуживанию не принадлежащих ему сетей. </w:t>
      </w:r>
      <w:r>
        <w:rPr/>
        <w:t>ООО «КВС» дополнительным соглашением к договору неправомерно возложило на абонента обязанность по обслуживанию не принадлежащих ему сетей, навязывая тем самым невыгодные для Прихода условия договора, которые не предусмотрены федеральными законами и противоречат нормативно-правовым актам Правительства Российской Федерации.</w:t>
      </w:r>
    </w:p>
    <w:p>
      <w:pPr>
        <w:pStyle w:val="21"/>
        <w:spacing w:lineRule="auto" w:line="240"/>
        <w:ind w:firstLine="708"/>
        <w:rPr/>
      </w:pPr>
      <w:r>
        <w:rPr/>
        <w:t>Согласно предупреждению ООО «КВС» должно было направить письмо об отзыве дополнительного соглашения. Предупреждение исполнено.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>
          <w:i/>
        </w:rPr>
        <w:t>- н</w:t>
      </w:r>
      <w:r>
        <w:rPr>
          <w:b/>
          <w:i/>
        </w:rPr>
        <w:t xml:space="preserve">а рынке оказания услуг и (или) выполнения работ по капитальному ремонту общего имущества в многоквартирном доме </w:t>
      </w:r>
      <w:r>
        <w:rPr/>
        <w:t>Саратовское УФАС России предупредило Фонд капитального ремонта общего имущества в многоквартирных домах в Саратовской области (далее – Фонд капитального ремонта) о недопустимости навязывания в договорах при осуществлении услуг/работ, связанных с организацией и проведением капитального ремонта общего имущества в многоквартирных домах, срока оплаты в течение 36 месяцев.</w:t>
      </w:r>
    </w:p>
    <w:p>
      <w:pPr>
        <w:pStyle w:val="21"/>
        <w:spacing w:lineRule="auto" w:line="240"/>
        <w:ind w:firstLine="709"/>
        <w:rPr/>
      </w:pPr>
      <w:r>
        <w:rPr/>
        <w:t>Рассмотрев практику региональных операторов по капитальному ремонту в других регионах, был сделан вывод о том, что, исходя из обычаев делового оборота, ими устанавливаются сроки оплаты выполненных работ исходя из принципов разумности и справедливости.</w:t>
      </w:r>
    </w:p>
    <w:p>
      <w:pPr>
        <w:pStyle w:val="21"/>
        <w:spacing w:lineRule="auto" w:line="240"/>
        <w:ind w:firstLine="709"/>
        <w:rPr/>
      </w:pPr>
      <w:r>
        <w:rPr/>
        <w:t>Вместе с тем, по общему правилу, установленному статьей 711 Гражданского кодекса Российской Федерации, работы по договору подряда должны быть оплачены после окончательной сдачи результатов работы. Таким образом, действия Фонда капитального ремонта ущемляют права предпринимателей и интересы неопределенного круга лиц.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en-US"/>
        </w:rPr>
        <w:t xml:space="preserve">Фонд капитального ремонта во исполнение предупреждения во всех вновь объявляемых аукционах установил условие об оплате выполняемых работ в течение 18 месяцев. </w:t>
      </w:r>
    </w:p>
    <w:p>
      <w:pPr>
        <w:pStyle w:val="21"/>
        <w:spacing w:lineRule="auto" w:line="240"/>
        <w:ind w:firstLine="709"/>
        <w:rPr>
          <w:b/>
          <w:b/>
          <w:i/>
          <w:i/>
        </w:rPr>
      </w:pPr>
      <w:r>
        <w:rPr>
          <w:b/>
          <w:i/>
        </w:rPr>
        <w:t>Саратовским УФАС России были установлены признаки нарушения антимонопольного законодательства, связанные с запретом на недобросовестную конкуренцию путем введения в заблуждение, с связи с чем были выданы 8 предупреждений хозяйствующим субъектам на рынках молочных и колбасных изделий.</w:t>
      </w:r>
    </w:p>
    <w:p>
      <w:pPr>
        <w:pStyle w:val="21"/>
        <w:spacing w:lineRule="auto" w:line="240"/>
        <w:ind w:firstLine="709"/>
        <w:rPr>
          <w:b/>
          <w:b/>
          <w:i/>
          <w:i/>
        </w:rPr>
      </w:pPr>
      <w:r>
        <w:rPr/>
        <w:t xml:space="preserve"> </w:t>
      </w:r>
      <w:r>
        <w:rPr/>
        <w:t>Саратовское УФАС России предупредило ООО «Саратовский молочный комбинат», ООО «Молочный комбинат Энгельсский», ООО «Милкснаб», ООО «Милково», ООО «МК» и ООО «Комбинат «Дубки», а также индивидуального предпринимателя о прекращении действий, содержащих признаки нарушения пункта 1 статьи 14.2 Закона о защите конкуренции.</w:t>
      </w:r>
    </w:p>
    <w:p>
      <w:pPr>
        <w:pStyle w:val="21"/>
        <w:spacing w:lineRule="auto" w:line="240"/>
        <w:ind w:firstLine="709"/>
        <w:rPr/>
      </w:pPr>
      <w:r>
        <w:rPr/>
        <w:t>В результате рассмотрения заявлений, а также информации, поступившей из Управления Россельхознадзора по Саратовской и Самарской областям, установлено, что в нарушение требований ГОСТов указанными производителями в состав молочной и колбасной продукции включались вещества, содержание которых либо вообще не предусматривалось, либо не соответствовало количественному содержанию, установленному в стандартах.</w:t>
      </w:r>
    </w:p>
    <w:p>
      <w:pPr>
        <w:pStyle w:val="21"/>
        <w:spacing w:lineRule="auto" w:line="240"/>
        <w:ind w:firstLine="709"/>
        <w:rPr/>
      </w:pPr>
      <w:r>
        <w:rPr/>
        <w:t>При этом, данными производителями на упаковках и этикетках продукции декларировалось ее соответствие ГОСТам.</w:t>
      </w:r>
    </w:p>
    <w:p>
      <w:pPr>
        <w:pStyle w:val="21"/>
        <w:spacing w:lineRule="auto" w:line="240"/>
        <w:ind w:firstLine="709"/>
        <w:rPr/>
      </w:pPr>
      <w:r>
        <w:rPr/>
        <w:t>Указание на упаковках и этикетках продукции информации о соответствии вводимого в оборот товара принятым ГОСТам может сыграть определяющую роль в выборе товара в пользу продукции того или иного производителя, тем самым дезориентировать потребителей о реальном положении на рынке и отвлечь их от продукции других хозяйствующих субъектов-конкурентов, что, безусловно, свидетельствует о получении конкурентных преимуществ как эффекта, возникшего за счет перераспределения спроса потребителей, вызванного введением их в заблуждение.</w:t>
      </w:r>
    </w:p>
    <w:p>
      <w:pPr>
        <w:pStyle w:val="21"/>
        <w:spacing w:lineRule="auto" w:line="240"/>
        <w:ind w:firstLine="709"/>
        <w:rPr/>
      </w:pPr>
      <w:r>
        <w:rPr/>
        <w:t>Согласно материалам, представленным Управлением Россельхознадзора по Саратовской и Самарской областям, продукция некоторых из указанных производителей, в том числе, поставлялась в рамках заключенных контрактов для государственных и муниципальных нужд в детские образовательные учреждения, учреждения ФСИН и воинские части по всей территории Российской Федерации.</w:t>
      </w:r>
    </w:p>
    <w:p>
      <w:pPr>
        <w:pStyle w:val="21"/>
        <w:spacing w:lineRule="auto" w:line="240"/>
        <w:ind w:firstLine="709"/>
        <w:rPr/>
      </w:pPr>
      <w:r>
        <w:rPr/>
        <w:t>Внесение изменений в состав молочной и колбасной продукции ведёт к снижению себестоимости их производства. Такая фальсифицированная продукция может позволить ее производителям получить необоснованные преимущества, в том числе при участии в конкурентных процедурах закупок товаров для государственных и муниципальных нужд детских образовательных учреждений, учреждений ФСИН и воинских частей по всей территории Российской Федерации путём снижения цены контракта ниже приемлемого для добросовестных производителей уровня.</w:t>
      </w:r>
    </w:p>
    <w:p>
      <w:pPr>
        <w:pStyle w:val="21"/>
        <w:spacing w:lineRule="auto" w:line="240"/>
        <w:ind w:firstLine="709"/>
        <w:rPr/>
      </w:pPr>
      <w:r>
        <w:rPr/>
        <w:t>Согласно предупреждениям указанным производителям было необходимо исключить реализацию продукции с указанием на упаковке недостоверной информации о ее соответствии установленным ГОСТам. Предупреждения исполнены.</w:t>
      </w:r>
    </w:p>
    <w:p>
      <w:pPr>
        <w:pStyle w:val="21"/>
        <w:shd w:val="clear" w:color="auto" w:fill="auto"/>
        <w:spacing w:lineRule="auto" w:line="240"/>
        <w:ind w:firstLine="680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21"/>
        <w:shd w:val="clear" w:color="auto" w:fill="auto"/>
        <w:spacing w:lineRule="auto" w:line="240"/>
        <w:ind w:firstLine="680"/>
        <w:rPr>
          <w:i/>
          <w:i/>
          <w:iCs/>
        </w:rPr>
      </w:pPr>
      <w:r>
        <w:rPr>
          <w:rFonts w:eastAsia="Calibri"/>
          <w:b/>
          <w:i/>
          <w:iCs/>
        </w:rPr>
        <w:t>В отношении органов местного самоуправления рассмотрены 3 дела о нарушении антимонопольного законодательства.</w:t>
      </w:r>
    </w:p>
    <w:p>
      <w:pPr>
        <w:pStyle w:val="21"/>
        <w:shd w:val="clear" w:color="auto" w:fill="auto"/>
        <w:spacing w:lineRule="auto" w:line="240"/>
        <w:ind w:firstLine="680"/>
        <w:rPr>
          <w:i/>
          <w:i/>
          <w:iCs/>
        </w:rPr>
      </w:pPr>
      <w:r>
        <w:rPr>
          <w:rFonts w:eastAsia="Calibri"/>
          <w:b/>
          <w:i/>
          <w:iCs/>
        </w:rPr>
        <w:t xml:space="preserve">Нарушения выразились в </w:t>
      </w:r>
      <w:r>
        <w:rPr/>
        <w:t xml:space="preserve">действиях органов местного самоуправления: </w:t>
      </w:r>
    </w:p>
    <w:p>
      <w:pPr>
        <w:pStyle w:val="21"/>
        <w:shd w:val="clear" w:color="auto" w:fill="auto"/>
        <w:spacing w:lineRule="auto" w:line="240"/>
        <w:ind w:firstLine="680"/>
        <w:rPr>
          <w:i/>
          <w:i/>
          <w:iCs/>
        </w:rPr>
      </w:pPr>
      <w:r>
        <w:rPr/>
        <w:t>- по неправомерному отказу в предоставлении земельного участка и изданию актов, противоречащих антимонопольному законодательству;</w:t>
      </w:r>
    </w:p>
    <w:p>
      <w:pPr>
        <w:pStyle w:val="Normal"/>
        <w:spacing w:lineRule="auto" w:line="240" w:before="0" w:after="0"/>
        <w:ind w:firstLine="73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en-US"/>
        </w:rPr>
        <w:t>Возбу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en-US"/>
        </w:rPr>
        <w:t>ждение и рассмотрение дел связано с невыполнением органами местного самоуправления предупреждений по признакам нарушения антимонопольного законодательства.</w:t>
      </w:r>
    </w:p>
    <w:p>
      <w:pPr>
        <w:pStyle w:val="Normal"/>
        <w:spacing w:lineRule="auto" w:line="240" w:before="0" w:after="0"/>
        <w:ind w:firstLine="737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en-US"/>
        </w:rPr>
        <w:t>В силу части 7 статьи 39.1 Закона о защите конкуренции при условии выполнения предупреждения дело о нарушении антимонопольного законодательства не возбуждается и лицо, выполнившее предупреждение, не подлежит административной ответственности за нарушение антимонопольного законодательства в связи с его устранением.</w:t>
      </w:r>
    </w:p>
    <w:p>
      <w:pPr>
        <w:pStyle w:val="Style20"/>
        <w:spacing w:lineRule="auto" w:line="240" w:before="0" w:after="0"/>
        <w:ind w:firstLine="850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en-US"/>
        </w:rPr>
        <w:t>- по реализации вопросов местного значения, связанных с благоустройством территории.</w:t>
      </w:r>
    </w:p>
    <w:p>
      <w:pPr>
        <w:pStyle w:val="Style20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en-US"/>
        </w:rPr>
        <w:t> </w:t>
      </w:r>
    </w:p>
    <w:p>
      <w:pPr>
        <w:pStyle w:val="Normal"/>
        <w:spacing w:lineRule="auto" w:line="240"/>
        <w:ind w:firstLine="709"/>
        <w:rPr/>
      </w:pPr>
      <w:r>
        <w:rPr>
          <w:rStyle w:val="3"/>
          <w:rFonts w:eastAsia="" w:eastAsiaTheme="minorEastAsia"/>
          <w:bCs w:val="false"/>
          <w:sz w:val="26"/>
          <w:szCs w:val="26"/>
        </w:rPr>
        <w:t>Контроль в сфере государственных и муниципальных закупок</w:t>
      </w:r>
      <w:bookmarkStart w:id="3" w:name="bookmark3"/>
    </w:p>
    <w:p>
      <w:pPr>
        <w:pStyle w:val="21"/>
        <w:shd w:val="clear" w:color="auto" w:fill="auto"/>
        <w:spacing w:lineRule="auto" w:line="240"/>
        <w:ind w:firstLine="709"/>
        <w:rPr/>
      </w:pPr>
      <w:r>
        <w:rPr>
          <w:bCs/>
        </w:rPr>
        <w:t>В Саратовское УФАС России п</w:t>
      </w:r>
      <w:r>
        <w:rPr/>
        <w:t xml:space="preserve">оступило 368 жалоб о нарушении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также Закон о контрактной системе). Рассмотрено 255 жалоб, из них признаны обоснованными 72 жалобы, признаны необоснованными 183 жалобы. Выдано и исполнено 95 предписаний. 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 xml:space="preserve">Рассмотрено 330 обращений заказчиков о включении участников закупок в реестр недобросовестных поставщиков (подрядчиков, исполнителей). Из них включено в реестр 76. По итогам рассмотрения информации отказано во включении 242. Всего в реестре числится 271 недобросовестный поставщик (подрядчик, исполнитель). </w:t>
        <w:tab/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Проведено 98 внеплановых проверок на предмет соблюдения Заказчиками и Комиссиями Заказчика требований законодательства о контрактной системе, по итогам проверок выдано 22 предписания об устранении нарушений, которые исполнены.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</w:r>
    </w:p>
    <w:p>
      <w:pPr>
        <w:pStyle w:val="21"/>
        <w:spacing w:lineRule="auto" w:line="240"/>
        <w:ind w:firstLine="709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К типичным нарушениям можно отнести:</w:t>
      </w:r>
    </w:p>
    <w:p>
      <w:pPr>
        <w:pStyle w:val="21"/>
        <w:spacing w:lineRule="auto" w:line="240"/>
        <w:ind w:firstLine="709"/>
        <w:rPr/>
      </w:pPr>
      <w:r>
        <w:rPr/>
        <w:t>- описание предмета закупки, противоречащее требованиям Закона о контрактной системе;</w:t>
      </w:r>
    </w:p>
    <w:p>
      <w:pPr>
        <w:pStyle w:val="21"/>
        <w:spacing w:lineRule="auto" w:line="240"/>
        <w:ind w:firstLine="709"/>
        <w:rPr/>
      </w:pPr>
      <w:r>
        <w:rPr/>
        <w:t>- установление в извещении дополнительных требований к участникам закупки с нарушением требований постановления Правительства № 2571;</w:t>
      </w:r>
    </w:p>
    <w:p>
      <w:pPr>
        <w:pStyle w:val="21"/>
        <w:spacing w:lineRule="auto" w:line="240"/>
        <w:ind w:firstLine="709"/>
        <w:rPr/>
      </w:pPr>
      <w:r>
        <w:rPr/>
        <w:t>-  необоснованный допуск и необоснованное отклонение комиссией заявок на участие в закупке.</w:t>
      </w:r>
    </w:p>
    <w:p>
      <w:pPr>
        <w:pStyle w:val="21"/>
        <w:spacing w:lineRule="auto" w:line="240"/>
        <w:ind w:firstLine="709"/>
        <w:rPr/>
      </w:pPr>
      <w:r>
        <w:rPr/>
      </w:r>
    </w:p>
    <w:p>
      <w:pPr>
        <w:pStyle w:val="21"/>
        <w:shd w:val="clear" w:color="auto" w:fill="auto"/>
        <w:spacing w:lineRule="auto" w:line="240"/>
        <w:ind w:firstLine="709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Примеры рассмотренных жалоб: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 xml:space="preserve">1). Саратовское УФАС России рассмотрело и признало жалобу ООО «СОЮЗДОНСТРОЙ» на действия Заказчика Управления капитального строительства администрации Энгельсского муниципального района при проведении аукциона «Реконструкция главного самотечного коллектора Д=1200 мм с увеличением диаметра до 1500 мм в границах пр.Строителей - пр.Химиков до ул.Менделеева в городе Энгельсе Саратовской области» обоснованной. 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Закупка проводилась в рамках реализации национального проекта «Жилье и городская среда» (НМЦК 232,6 млн руб.).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Заказчиком в нарушение требований законодательства о контрактной системе установлены противоречивые требования о казначейском сопровождении исполнения контракта; не использованы стандартные единицы измерения; установлены условия о продлении сроков исполнения обязательств по контракту; не конкретизировано какие выплаты удерживаются у подрядчика при оплате выполненных работ.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 xml:space="preserve">До выдачи предписания на участие в аукционе было подано 4 заявки, одна отклонена, экономия составила 32,6 млн руб., после выдачи предписания были поданы 4 заявки, все были допущены, экономия составила 42,6 млн руб. 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Контракт заключен с победителем закупки (подателем жалобы) ООО «СОЮЗДОНСТРОЙ», находится на стадии исполнения.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>2). Саратовское УФАС России рассмотрело и признало обоснованной жалобу ИП М. на действия Заказчика - Комитета дорожного хозяйства, благоустройства и транспорта администрации муниципального образования «Город Саратов» при проведении аукциона в электронной форме № 0160300002722000002 «Выполнение работ по нанесению горизонтальной дорожной разметки» (НМЦК 8, 9 млн руб.).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>Заказчик не установил в Извещении дополнительные требования и исчерпывающий перечень документов, которые участники закупки должны представить в целях подтверждения соответствия дополнительным требованиям, установленным постановлением Правительства № 2571, тем самым нарушил пункт 12 части 1 статьи 42 Закона о контрактной системе.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>Заказчику было выдано предписание о внесении изменений в Извещение о проведении Аукциона, которое было исполнено.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>До выдачи предписания согласно Протоколу подведения итогов определения поставщика (подрядчика, исполнителя) было подано 4 заявки, цена победителя ООО «Линия» составила 29844,01 рублей (за единицу услуги), все заявки были допущены.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 xml:space="preserve">После выдачи предписания было подано 4 заявки, цена победителя ООО «МЕРИДИАН» составила 25 367,41 рублей (за единицу услуги).  </w:t>
      </w:r>
    </w:p>
    <w:p>
      <w:pPr>
        <w:pStyle w:val="21"/>
        <w:shd w:val="clear" w:color="auto" w:fill="auto"/>
        <w:spacing w:lineRule="auto" w:line="240"/>
        <w:ind w:firstLine="709"/>
        <w:rPr>
          <w:bCs/>
        </w:rPr>
      </w:pPr>
      <w:r>
        <w:rPr>
          <w:bCs/>
        </w:rPr>
        <w:t>Контракт заключен с ООО «Меридиан» и исполнен на сумму 8,66 млн рублей.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>3). Саратовское УФАС России рассмотрело и признало жалобу ИП М. на действия Заказчика МУП «Питерское» Питерского МР Саратовской области при проведении аукциона № 0560600010722000001 по ремонту водопроводных очистных сооружений с. Питерка (НМЦК 8, 9 млн руб.) необоснованной.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>В ходе проведения внеплановой проверки установлено, что Единая комиссия отклонила единственного участника аукциона за указание в заявке характеристик товара, не соответствующего требованиям Извещения.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 xml:space="preserve">Вместе с тем, в Извещении о проведении Аукциона отсутствовали требования о предоставлении в составе заявки показателей товара, используемого при выполнении работ и страны происхождения товара, а было указано о представлении лишь согласия на участие в аукционе. 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>Выдано предписание о повторном рассмотрении заявки.</w:t>
      </w:r>
    </w:p>
    <w:p>
      <w:pPr>
        <w:pStyle w:val="21"/>
        <w:shd w:val="clear" w:color="auto" w:fill="auto"/>
        <w:spacing w:lineRule="auto" w:line="240"/>
        <w:ind w:firstLine="709"/>
        <w:rPr>
          <w:bCs/>
        </w:rPr>
      </w:pPr>
      <w:r>
        <w:rPr>
          <w:bCs/>
        </w:rPr>
        <w:t>После исполнения предписания отклоненный участник ООО «РЕНОВАЦИЯ» был допущен до участия в Аукционе, с ним был заключен контракт, исполнен.</w:t>
      </w:r>
    </w:p>
    <w:p>
      <w:pPr>
        <w:pStyle w:val="21"/>
        <w:shd w:val="clear" w:color="auto" w:fill="auto"/>
        <w:spacing w:lineRule="auto" w:line="240"/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>4). Комиссия Саратовского УФАС России рассмотрела 9 жалоб на действия ФКУ Упрдор «Нижне-Волжское» при проведении двух аукционов на установку комплексов фотовидеофиксации нарушений ПДД (общая НМЦК 239,4 млн руб.).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>ФКУ Упрдор «Нижне-Волжское» неправомерно отклонило все заявки из 6 поданных по аукциону № 0860400000322000028 и 7 - по аукциону № 0860400000322000027 по следующим причинам: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 xml:space="preserve">- за непредставление документов, подтверждающих страну происхождения товара (национальный режим), при этом у Комиссии отсутствовали заявки, которые соответствовали требованиям извещения, в связи с чем отклонение заявок в рамках национального режима неправомерно;  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 xml:space="preserve">- в связи с представлением недостоверной информации. Участником закупки указано о поставке Комплекса измерительного с видеофиксацией «КОРДОН-М2», у которого имеется товарный знак, тогда как в заявке указано, что товарный знак отсутствует. При рассмотрении жалобы представлено письмо производителя, согласно которому товарный знак на данный товар не распространяется; 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 xml:space="preserve">- в связи с указанием показателей товара, не соответствующих требования Извещения, при этом по условиям Инструкции к одному пункту технического задания можно было применить 2 разных положения инструкции, то есть указать либо диапазонный показатель, либо конкретный показатель, что вводило участников закупки в заблуждение и привело к необоснованному отклонению заявок; 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 xml:space="preserve">- участник закупки в составе заявки приложил договор, заключенный в рамках Закона № 223-ФЗ, который был размещен в ЕИС, при этом комиссия отклонила данного участника, указав, что участник не представил договор, заключенный в рамках закона № 223-ФЗ либо 44-ФЗ. 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>После выдачи предписания Заказчиком повторно рассмотрены заявки, до участия в Аукционах допущено по 4 заявки по каждому аукциону.</w:t>
      </w:r>
    </w:p>
    <w:p>
      <w:pPr>
        <w:pStyle w:val="21"/>
        <w:shd w:val="clear" w:color="auto" w:fill="auto"/>
        <w:spacing w:lineRule="auto" w:line="240"/>
        <w:ind w:firstLine="709"/>
        <w:rPr>
          <w:bCs/>
        </w:rPr>
      </w:pPr>
      <w:r>
        <w:rPr>
          <w:bCs/>
        </w:rPr>
        <w:t>В результате торгов снижение НМЦК составило более 46 млн рублей. Контракты заключены с победителем закупки, предложившим наименьшую цену на аукционах.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>5). В Саратовском УФАС России рассмотрена жалоба ИП на действия Единой комиссии ГКУ СО «ГОСУДАРСТВЕННОЕ АГЕНТСТВО ПО ЦЕНТРАЛИЗАЦИИ ЗАКУПОК» при проведении электронного аукциона «Поставка медицинского оборудования (Стол операционный универсальный, электромеханический, с питанием от сети) (НМЦК 1, 58 млн руб.).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>В ходе внеплановой проверки установлено, что Заказчик в нарушение п. 1 ч. 1 ст. 33 Закона о контрактной системе неправомерно установил в описании объекта закупки информацию о коде вида номенклатурной классификации медицинских изделий «162410», поскольку данная информация в соответствии п.п. «д» п.10 постановления Правительства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носит справочный характере и не является технической, качественной характеристикой поставляемого товара.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>Аналогичная позиция изложена в Письме Министерства финансов Российской Федерации от 17.08.2020 № 24-06-08/71982 и письме ФАС России от 14.10.2022 № ПИ/28/94973/22.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>Допущенное заказчиком нарушение повлекло отклонение заявок 2 участников.</w:t>
      </w:r>
    </w:p>
    <w:p>
      <w:pPr>
        <w:pStyle w:val="21"/>
        <w:spacing w:lineRule="auto" w:line="240"/>
        <w:ind w:firstLine="709"/>
        <w:rPr>
          <w:bCs/>
        </w:rPr>
      </w:pPr>
      <w:r>
        <w:rPr>
          <w:bCs/>
        </w:rPr>
        <w:t>Заказчику, оператору и Единой комиссии выдано предписание о пересмотре поступивших заявок.</w:t>
      </w:r>
    </w:p>
    <w:p>
      <w:pPr>
        <w:pStyle w:val="21"/>
        <w:shd w:val="clear" w:color="auto" w:fill="auto"/>
        <w:spacing w:lineRule="auto" w:line="240"/>
        <w:ind w:firstLine="709"/>
        <w:rPr>
          <w:bCs/>
        </w:rPr>
      </w:pPr>
      <w:r>
        <w:rPr>
          <w:bCs/>
        </w:rPr>
        <w:t>По результатам пересмотра заявки всех трех участников закупки признаны соответствующими требованиям извещения. Победителем признан участник, который ранее был неправомерно отклонен. Цена контракта, предложенная победителем, ниже НМЦК на 30,5%.</w:t>
      </w:r>
    </w:p>
    <w:p>
      <w:pPr>
        <w:pStyle w:val="21"/>
        <w:shd w:val="clear" w:color="auto" w:fill="auto"/>
        <w:spacing w:lineRule="auto" w:line="240"/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21"/>
        <w:shd w:val="clear" w:color="auto" w:fill="auto"/>
        <w:spacing w:lineRule="auto" w:line="240"/>
        <w:ind w:firstLine="709"/>
        <w:jc w:val="center"/>
        <w:rPr>
          <w:u w:val="single"/>
        </w:rPr>
      </w:pPr>
      <w:r>
        <w:rPr>
          <w:b/>
          <w:bCs/>
          <w:u w:val="single"/>
        </w:rPr>
        <w:t>Контроль за соблюдением процедуры торгов и порядка заключения договоров, порядка осуществления мероприятий при реализации проекта по строительству объекта капитального строительства</w:t>
      </w:r>
    </w:p>
    <w:p>
      <w:pPr>
        <w:pStyle w:val="21"/>
        <w:shd w:val="clear" w:color="auto" w:fill="auto"/>
        <w:spacing w:lineRule="auto" w:line="240"/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 xml:space="preserve">Обжалование процедуры торгов и порядка заключения договоров осуществляется в порядке, предусмотренном </w:t>
      </w:r>
      <w:hyperlink r:id="rId2">
        <w:r>
          <w:rPr/>
          <w:t>статьей 18.1</w:t>
        </w:r>
      </w:hyperlink>
      <w:r>
        <w:rPr/>
        <w:t xml:space="preserve"> Закона о защите конкуренции.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В порядке статьи 18.1 Закона о защите конкуренции в Саратовское УФАС России поступило 267 жалоб, из них: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отозвано 14 жалоб,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возвращено заявителю 45 жалоб,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направленно по подведомственности 4 жалобы,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признаны обоснованными 83 жалобы,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признаны необоснованными 121 жалоба,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выдано 55 предписаний,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исполнено 45 предписаний,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не исполнено 1 предписание,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в стадии исполнения 9 предписаний.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iCs/>
          <w:sz w:val="26"/>
          <w:szCs w:val="26"/>
        </w:rPr>
        <w:t>В сфере торгов на заключение договоров аренды и продажи земельных участков, находящихся в государственной или муниципальной собственности: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28 жалоб признаны обоснованными, 29 жалоб – необоснованными, выдано 15 предписаний, 14 из которых исполнены и 1 предписание – в стадии исполнения.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iCs/>
          <w:sz w:val="26"/>
          <w:szCs w:val="26"/>
        </w:rPr>
        <w:t>В сфере торгов по реализации имущества должников (банкротство):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8 жалоб признаны обоснованными, 18 жалоб – необоснованными, выдано 7 предписаний, 5 исполнено, 2 – в стадии.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/>
          <w:i/>
          <w:i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iCs/>
          <w:sz w:val="26"/>
          <w:szCs w:val="26"/>
        </w:rPr>
        <w:t>В сфере торгов по реализации имущества должников (арестованное имущество):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12 жалоб признаны обоснованными, 10 жалоб – необоснованными, выдано 6 предписаний, 5 исполнено, 1 – не исполнено.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iCs/>
          <w:sz w:val="26"/>
          <w:szCs w:val="26"/>
        </w:rPr>
        <w:t>В сфере торгов по отбору управляющей организации: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 жалобы признана обоснованными, 2 – необоснованными, выдано 2 предписания, которые исполнены.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iCs/>
          <w:sz w:val="26"/>
          <w:szCs w:val="26"/>
        </w:rPr>
        <w:t>В сфере торгов на заключение договора водопользования: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 жалоба признана необоснованной.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iCs/>
          <w:sz w:val="26"/>
          <w:szCs w:val="26"/>
        </w:rPr>
        <w:t>В сфере торгов по определению подрядной организации для проведения капитального ремонта: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 жалоба признана обоснованной, выдано 1 предписание, которое находится в стадии исполнения.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iCs/>
          <w:sz w:val="26"/>
          <w:szCs w:val="26"/>
        </w:rPr>
        <w:t>В сфере торгов на заключение охотхозяйственного соглашения: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 жалоба признана обоснованной, выдано 1 предписание, которое находится в стадии исполнения.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iCs/>
          <w:sz w:val="26"/>
          <w:szCs w:val="26"/>
        </w:rPr>
        <w:t>В сфере торгов на право получения свидетельств об осуществлении регулярных пассажирских перевозок: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4 жалобы признаны обоснованными, 5 жалоб – необоснованными, выдано 3 предписания, которые исполнены.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/>
          <w:i/>
          <w:i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iCs/>
          <w:sz w:val="26"/>
          <w:szCs w:val="26"/>
        </w:rPr>
        <w:t>В сфере торгов на право заключения договора аренды лесного участка: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 жалоба признана необоснованной.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iCs/>
          <w:sz w:val="26"/>
          <w:szCs w:val="26"/>
        </w:rPr>
        <w:t>В сфере закупок товаров, работ, услуг, регламентируемых Федеральным законом от 18 июля 2011 г. № 223-ФЗ «О закупках товаров, работ, услуг отдельными видами юридических лиц» (далее – Закон о закупках):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25 жалоб признаны обоснованными, 56 жалоб – необоснованными, выдано 20 предписаний, 16 из которых исполнено, 4 предписания находятся в стадии исполнения.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</w:rPr>
        <w:t xml:space="preserve">Примеры выявленных нарушений 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 xml:space="preserve">1). Одним из нарушений требований </w:t>
      </w:r>
      <w:r>
        <w:rPr>
          <w:iCs/>
        </w:rPr>
        <w:t>Закона о закупках</w:t>
      </w:r>
      <w:r>
        <w:rPr/>
        <w:t xml:space="preserve"> является неправомерное указание заказчиками в закупочных документациях двух начальных максимальных цен договора: с учетом НДС и одновременно без учета НДС, что не соответствует требования Закона о закупках. 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Наличие в документации о закупке нескольких значений начальной (максимальной) цены договора (цены лота) может привести к неоднозначному толкованию таких положений участниками закупки и необъективной оценке своих возможностей при определении в заявке ценового предложения такого участника.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При проведении аукциона (и аналогичных процедур закупки) победитель определяется путем сравнения поступивших ценовых предложений и выигравшим признается лицо, предложившее наиболее низкую цену договора (при проведении конкурса (и аналогичных процедур закупки) ценовой критерий также учитывается для определения победителя закупки).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При этом, заказчик не имеет правовых оснований производить какие-либо вычеты из ценовых предложений, применять иные особенности оценки и сопоставления заявок в отношении разных категорий налогоплательщиков.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Таким образом, с лицом, выигравшим торги, заключается договор по цене, предложенной таким участником на условиях, указанных в заявке победителя, документации о закупке. При этом, требования, предъявляемые к участникам закупочной процедуры, применяются в равной степени ко всем участникам закупки и не могут содержать положения, обязывающие победителя закупки заключить договор по результатам закупки по цене меньшей, чем предложена в ходе проведения закупки.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В Законе о закупках отсутствуют нормы о возможности при осуществлении оценки заявок участников закупочной процедуры применения единого базиса оценки цены предложенной участником без учета НДС. Таким образом, оценка цены договора, заключаемого по результатам закупки, осуществляется в соответствии с ценой, предложенной в заявке участника.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Данная позиция отражена в письме ФАС России от 22.08.2018 № АД/66562/18 «По вопросу установления требований, к участникам, применяющим различные системы налогообложения (уменьшение или увеличение предложенной максимальной начальной цены на сумму НДС)».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 xml:space="preserve">2). Одним из типичных нарушений норм Земельного кодекса РФ при организации торгов на право заключения договоров аренды, купли-продажи земельных участков является отсутствие в извещении о проведении торгов предусмотренных правилами землепользования и застройки видов разрешенного использования земельных участков. </w:t>
      </w:r>
    </w:p>
    <w:p>
      <w:pPr>
        <w:pStyle w:val="21"/>
        <w:shd w:val="clear" w:color="auto" w:fill="auto"/>
        <w:spacing w:lineRule="auto" w:line="240"/>
        <w:ind w:firstLine="709"/>
        <w:rPr/>
      </w:pPr>
      <w:hyperlink r:id="rId3">
        <w:r>
          <w:rPr/>
          <w:t>Подпунктом 4 пункта 21 статьи 39.11</w:t>
        </w:r>
      </w:hyperlink>
      <w:r>
        <w:rPr/>
        <w:t xml:space="preserve"> Земельного кодекса Российской Федерации (далее - ЗК РФ) предусмотрено, что извещение о проведении аукциона должно содержать сведения о предмете аукциона, в том числе, сведения о разрешенном использовании земельного участка.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 xml:space="preserve">Кроме того, земельный участок, находящийся в государственной или муниципальной собственности, согласно </w:t>
      </w:r>
      <w:hyperlink r:id="rId4">
        <w:r>
          <w:rPr/>
          <w:t>подпункту 5 пункта 8 статьи 39.11</w:t>
        </w:r>
      </w:hyperlink>
      <w:r>
        <w:rPr/>
        <w:t xml:space="preserve"> ЗК РФ не может быть предметом аукциона, если в отношении земельного участка не установлено разрешенное использование.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 xml:space="preserve">В соответствии с </w:t>
      </w:r>
      <w:hyperlink r:id="rId5">
        <w:r>
          <w:rPr/>
          <w:t>частью 2 статьи 37</w:t>
        </w:r>
      </w:hyperlink>
      <w:r>
        <w:rPr/>
        <w:t xml:space="preserve"> Градостроительного кодекса Российской Федерации (далее - ГрК РФ) применительно к каждой территориальной зоне устанавливаются виды разрешенного использования земельных участков. Согласно </w:t>
      </w:r>
      <w:hyperlink r:id="rId6">
        <w:r>
          <w:rPr/>
          <w:t>пункту 1 части 1 статьи 34</w:t>
        </w:r>
      </w:hyperlink>
      <w:r>
        <w:rPr/>
        <w:t xml:space="preserve"> ГрК РФ при подготовке правил землепользования и застройки границы территориальных зон устанавливаются с учетом возможности сочетания в пределах одной территориальной зоны различных видов существующего и планируемого использования земельных участков.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 xml:space="preserve">В соответствии с </w:t>
      </w:r>
      <w:hyperlink r:id="rId7">
        <w:r>
          <w:rPr/>
          <w:t>частями 2</w:t>
        </w:r>
      </w:hyperlink>
      <w:r>
        <w:rPr/>
        <w:t xml:space="preserve"> и </w:t>
      </w:r>
      <w:hyperlink r:id="rId8">
        <w:r>
          <w:rPr/>
          <w:t>6 статьи 30</w:t>
        </w:r>
      </w:hyperlink>
      <w:r>
        <w:rPr/>
        <w:t xml:space="preserve"> ГрК РФ градостроительные регламенты являются элементом правил землепользования и застройки. В градостроительном регламенте в отношении земельных участков указываются, в том числе, виды разрешенного использования земельных участков.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 xml:space="preserve">Правила землепользования и застройки согласно </w:t>
      </w:r>
      <w:hyperlink r:id="rId9">
        <w:r>
          <w:rPr/>
          <w:t>пункту 4 части 1 статьи 30</w:t>
        </w:r>
      </w:hyperlink>
      <w:r>
        <w:rPr/>
        <w:t xml:space="preserve"> ГрК РФ разрабатываются в целях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Таким образом, предоставление возможности выбора наиболее эффективных видов разрешенного использования земельных участков из предусмотренных правилами землепользования и застройки повышает инвестиционную привлекательность земельного участка, способствует развитию конкуренции при проведении аукционов по продаже земельных участков или аукционов на право заключения договора аренды земельных участков.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Исходя из вышеизложенного, организатор торгов в извещении о проведении аукциона должен указывать все виды разрешенного использования земельного участка, которые содержатся в правилах землепользования и застройки.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>Данная позиция подтверждена решениями Верховного суда Российской Федерации и 17-ого Арбитражного апелляционного суда (</w:t>
      </w:r>
      <w:hyperlink r:id="rId10">
        <w:r>
          <w:rPr/>
          <w:t>дела № А60-46186/2018</w:t>
        </w:r>
      </w:hyperlink>
      <w:r>
        <w:rPr/>
        <w:t xml:space="preserve">, </w:t>
      </w:r>
      <w:hyperlink r:id="rId11">
        <w:r>
          <w:rPr/>
          <w:t>А60-30216/2018</w:t>
        </w:r>
      </w:hyperlink>
      <w:r>
        <w:rPr/>
        <w:t>).</w:t>
      </w:r>
    </w:p>
    <w:p>
      <w:pPr>
        <w:pStyle w:val="21"/>
        <w:shd w:val="clear" w:color="auto" w:fill="auto"/>
        <w:spacing w:lineRule="auto" w:line="240"/>
        <w:ind w:firstLine="709"/>
        <w:rPr/>
      </w:pPr>
      <w:r>
        <w:rPr/>
        <w:t xml:space="preserve">При этом, в силу </w:t>
      </w:r>
      <w:hyperlink r:id="rId12">
        <w:r>
          <w:rPr/>
          <w:t>части 1 статьи 33</w:t>
        </w:r>
      </w:hyperlink>
      <w:r>
        <w:rPr/>
        <w:t xml:space="preserve"> Федерального закона от 13.07.2015 № 218-ФЗ «О государственной регистрации недвижимости» заинтересованное лицо вправе обратиться в орган регистрации прав с заявлением о внесении изменений в сведения, содержащиеся в Едином государственном реестре недвижимости, в случае их несоответствия сведениям, содержащимся в правилах землепользования и застройки.</w:t>
      </w:r>
      <w:bookmarkEnd w:id="3"/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keepNext w:val="true"/>
        <w:keepLines/>
        <w:spacing w:lineRule="auto" w:line="240" w:before="0" w:after="0"/>
        <w:ind w:firstLine="709"/>
        <w:jc w:val="center"/>
        <w:rPr/>
      </w:pPr>
      <w:r>
        <w:rPr>
          <w:rStyle w:val="2"/>
          <w:rFonts w:eastAsia="" w:eastAsiaTheme="minorEastAsia"/>
          <w:bCs w:val="false"/>
          <w:sz w:val="26"/>
          <w:szCs w:val="26"/>
        </w:rPr>
        <w:t>Контроль рекламной деятельности</w:t>
      </w:r>
      <w:bookmarkStart w:id="4" w:name="bookmark4"/>
    </w:p>
    <w:p>
      <w:pPr>
        <w:pStyle w:val="Normal"/>
        <w:keepNext w:val="true"/>
        <w:keepLines/>
        <w:spacing w:lineRule="auto" w:line="240" w:before="0" w:after="0"/>
        <w:ind w:firstLine="709"/>
        <w:jc w:val="both"/>
        <w:rPr>
          <w:rStyle w:val="2"/>
          <w:rFonts w:eastAsia="" w:eastAsiaTheme="minorEastAsia"/>
          <w:bCs w:val="false"/>
          <w:sz w:val="26"/>
          <w:szCs w:val="26"/>
          <w:u w:val="none"/>
        </w:rPr>
      </w:pPr>
      <w:r>
        <w:rPr>
          <w:rFonts w:eastAsia="" w:eastAsiaTheme="minorEastAsia"/>
          <w:bCs w:val="false"/>
          <w:sz w:val="26"/>
          <w:szCs w:val="26"/>
          <w:u w:val="none"/>
        </w:rPr>
      </w:r>
      <w:bookmarkStart w:id="5" w:name="bookmark41"/>
      <w:bookmarkStart w:id="6" w:name="bookmark41"/>
    </w:p>
    <w:p>
      <w:pPr>
        <w:pStyle w:val="Normal"/>
        <w:keepNext w:val="true"/>
        <w:keepLines/>
        <w:spacing w:lineRule="auto" w:line="240" w:before="0" w:after="0"/>
        <w:ind w:firstLine="709"/>
        <w:jc w:val="both"/>
        <w:rPr/>
      </w:pPr>
      <w:r>
        <w:rPr>
          <w:rStyle w:val="2"/>
          <w:rFonts w:eastAsia="MS PGothic"/>
          <w:b w:val="false"/>
          <w:bCs w:val="false"/>
          <w:color w:val="auto"/>
          <w:sz w:val="26"/>
          <w:szCs w:val="26"/>
          <w:u w:val="none"/>
        </w:rPr>
        <w:t>Саратовским УФАС России р</w:t>
      </w:r>
      <w:r>
        <w:rPr>
          <w:rStyle w:val="2"/>
          <w:rFonts w:eastAsia="" w:eastAsiaTheme="minorEastAsia"/>
          <w:b w:val="false"/>
          <w:bCs w:val="false"/>
          <w:color w:val="auto"/>
          <w:sz w:val="26"/>
          <w:szCs w:val="26"/>
          <w:u w:val="none"/>
        </w:rPr>
        <w:t>ассмотрено 11 дел о нарушении законодательства о рекламе, выдано 7 предписаний (исполнены</w:t>
      </w:r>
      <w:bookmarkEnd w:id="6"/>
      <w:r>
        <w:rPr>
          <w:rStyle w:val="2"/>
          <w:rFonts w:eastAsia="" w:eastAsiaTheme="minorEastAsia"/>
          <w:b w:val="false"/>
          <w:bCs w:val="false"/>
          <w:color w:val="auto"/>
          <w:sz w:val="26"/>
          <w:szCs w:val="26"/>
          <w:u w:val="none"/>
        </w:rPr>
        <w:t>).</w:t>
      </w:r>
    </w:p>
    <w:p>
      <w:pPr>
        <w:pStyle w:val="21"/>
        <w:shd w:val="clear" w:color="auto" w:fill="auto"/>
        <w:spacing w:lineRule="auto" w:line="240"/>
        <w:ind w:firstLine="709"/>
        <w:jc w:val="left"/>
        <w:rPr>
          <w:b/>
          <w:b/>
        </w:rPr>
      </w:pPr>
      <w:r>
        <w:rPr>
          <w:b/>
        </w:rPr>
      </w:r>
    </w:p>
    <w:p>
      <w:pPr>
        <w:pStyle w:val="21"/>
        <w:shd w:val="clear" w:color="auto" w:fill="auto"/>
        <w:spacing w:lineRule="auto" w:line="240"/>
        <w:ind w:firstLine="709"/>
        <w:jc w:val="left"/>
        <w:rPr>
          <w:i/>
          <w:i/>
          <w:iCs/>
        </w:rPr>
      </w:pPr>
      <w:r>
        <w:rPr>
          <w:b/>
          <w:i/>
          <w:iCs/>
        </w:rPr>
        <w:t>Примеры рассмотренных дел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sz w:val="26"/>
          <w:szCs w:val="26"/>
        </w:rPr>
      </w:pPr>
      <w:r>
        <w:rPr>
          <w:rFonts w:eastAsia="MS PGothic"/>
          <w:sz w:val="26"/>
          <w:szCs w:val="26"/>
        </w:rPr>
        <w:t xml:space="preserve">     </w:t>
      </w:r>
      <w:r>
        <w:rPr>
          <w:rFonts w:eastAsia="MS PGothic"/>
          <w:sz w:val="26"/>
          <w:szCs w:val="26"/>
        </w:rPr>
        <w:t>1). Саратовским УФАС России рассмотрено 5 дел по факту размещения индивидуальными предпринимателями рекламы комиссионного магазина с одновременным использованием слова «ЛОМБАРД».</w:t>
      </w:r>
    </w:p>
    <w:p>
      <w:pPr>
        <w:pStyle w:val="NormalWeb"/>
        <w:spacing w:beforeAutospacing="0" w:before="0" w:afterAutospacing="0" w:after="0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MS PGothic"/>
          <w:sz w:val="26"/>
          <w:szCs w:val="26"/>
        </w:rPr>
        <w:t>Индивидуальные предприниматели, размещая указанную рекламу, не вправе были предоставлять услуги ломбарда, поскольку не состояли в государственном реестре ломбардов.</w:t>
      </w:r>
    </w:p>
    <w:p>
      <w:pPr>
        <w:pStyle w:val="NormalWeb"/>
        <w:spacing w:beforeAutospacing="0" w:before="0" w:afterAutospacing="0" w:after="0"/>
        <w:ind w:firstLine="709"/>
        <w:jc w:val="both"/>
        <w:textAlignment w:val="baseline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Реклама комиссионных магазинов с одновременным использованием обозначения «ЛОМБАРД» вводит потребителей в заблуждение, поскольку потребители рекламы считают, что комиссионный магазин оказывает услуги ломбарда.</w:t>
      </w:r>
    </w:p>
    <w:p>
      <w:pPr>
        <w:pStyle w:val="NormalWeb"/>
        <w:spacing w:beforeAutospacing="0" w:before="0" w:afterAutospacing="0" w:after="0"/>
        <w:ind w:firstLine="709"/>
        <w:jc w:val="both"/>
        <w:textAlignment w:val="baseline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Данные индивидуальные предприниматели были признаны нарушившими Закон о рекламе. Выданы два предписания, которые были исполнены.</w:t>
      </w:r>
    </w:p>
    <w:p>
      <w:pPr>
        <w:pStyle w:val="NormalWeb"/>
        <w:spacing w:beforeAutospacing="0" w:before="0" w:afterAutospacing="0" w:after="0"/>
        <w:ind w:firstLine="709"/>
        <w:jc w:val="both"/>
        <w:textAlignment w:val="baseline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 xml:space="preserve">        </w:t>
      </w:r>
      <w:r>
        <w:rPr>
          <w:rFonts w:eastAsia="SimSun"/>
          <w:kern w:val="2"/>
          <w:sz w:val="26"/>
          <w:szCs w:val="26"/>
        </w:rPr>
        <w:t xml:space="preserve">2). Рассмотрено 2 дела по факту превышения установленного объема рекламных сообщений от общего объема радиовещания в течении суток в отношении ООО КР «Рокс-Тайм» и ООО «Техавтоцентр». 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 xml:space="preserve">            </w:t>
      </w:r>
      <w:r>
        <w:rPr>
          <w:rFonts w:eastAsia="SimSun"/>
          <w:kern w:val="2"/>
          <w:sz w:val="26"/>
          <w:szCs w:val="26"/>
        </w:rPr>
        <w:t>ООО КР «Рокс-Тайм» и ООО «Техавтоцентр»</w:t>
      </w:r>
      <w:r>
        <w:rPr>
          <w:rFonts w:eastAsia="Calibri"/>
          <w:iCs/>
          <w:spacing w:val="-10"/>
          <w:sz w:val="26"/>
          <w:szCs w:val="26"/>
          <w:lang w:bidi="ru-RU"/>
        </w:rPr>
        <w:t xml:space="preserve"> признаны нарушившими часть 2 статьи 15 Закона о рекламе. </w:t>
      </w:r>
    </w:p>
    <w:p>
      <w:pPr>
        <w:pStyle w:val="NormalWeb"/>
        <w:spacing w:beforeAutospacing="0" w:before="0" w:afterAutospacing="0" w:after="0"/>
        <w:ind w:firstLine="709"/>
        <w:jc w:val="both"/>
        <w:textAlignment w:val="baseline"/>
        <w:rPr>
          <w:rFonts w:eastAsia="Calibri"/>
          <w:iCs/>
          <w:spacing w:val="-10"/>
          <w:sz w:val="26"/>
          <w:szCs w:val="26"/>
          <w:lang w:bidi="ru-RU"/>
        </w:rPr>
      </w:pPr>
      <w:r>
        <w:rPr>
          <w:rFonts w:eastAsia="Calibri"/>
          <w:iCs/>
          <w:spacing w:val="-10"/>
          <w:sz w:val="26"/>
          <w:szCs w:val="26"/>
          <w:lang w:bidi="ru-RU"/>
        </w:rPr>
        <w:t xml:space="preserve">Выданы предписания об устранении указанных нарушений, исполнены. </w:t>
      </w:r>
    </w:p>
    <w:p>
      <w:pPr>
        <w:pStyle w:val="NormalWeb"/>
        <w:spacing w:beforeAutospacing="0" w:before="0" w:afterAutospacing="0" w:after="0"/>
        <w:ind w:firstLine="709"/>
        <w:jc w:val="both"/>
        <w:textAlignment w:val="baseline"/>
        <w:rPr>
          <w:rFonts w:eastAsia="SimSun"/>
          <w:kern w:val="2"/>
          <w:sz w:val="26"/>
          <w:szCs w:val="26"/>
        </w:rPr>
      </w:pPr>
      <w:r>
        <w:rPr>
          <w:rFonts w:eastAsia="Calibri"/>
          <w:iCs/>
          <w:spacing w:val="-10"/>
          <w:sz w:val="26"/>
          <w:szCs w:val="26"/>
          <w:lang w:bidi="ru-RU"/>
        </w:rPr>
        <w:t>Наложен административный штраф в размере 100 000 рублей в отношении каждого юридического лица.</w:t>
      </w:r>
      <w:bookmarkEnd w:id="4"/>
    </w:p>
    <w:p>
      <w:pPr>
        <w:pStyle w:val="NormalWeb"/>
        <w:spacing w:beforeAutospacing="0" w:before="0" w:afterAutospacing="0" w:after="0"/>
        <w:ind w:firstLine="709"/>
        <w:jc w:val="both"/>
        <w:textAlignment w:val="baseline"/>
        <w:rPr>
          <w:rFonts w:eastAsia="SimSun"/>
          <w:kern w:val="2"/>
          <w:sz w:val="26"/>
          <w:szCs w:val="26"/>
        </w:rPr>
      </w:pPr>
      <w:r>
        <w:rPr/>
      </w:r>
    </w:p>
    <w:sectPr>
      <w:type w:val="nextPage"/>
      <w:pgSz w:w="11906" w:h="16838"/>
      <w:pgMar w:left="1134" w:right="1134" w:gutter="0" w:header="0" w:top="709" w:footer="0" w:bottom="56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"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171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semiHidden/>
    <w:qFormat/>
    <w:rsid w:val="00c21717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5" w:customStyle="1">
    <w:name w:val="Основной текст_"/>
    <w:basedOn w:val="DefaultParagraphFont"/>
    <w:link w:val="21"/>
    <w:qFormat/>
    <w:rsid w:val="00c6171c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" w:customStyle="1">
    <w:name w:val="Заголовок №2"/>
    <w:basedOn w:val="DefaultParagraphFont"/>
    <w:qFormat/>
    <w:rsid w:val="00c6171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single"/>
      <w:lang w:val="ru-RU"/>
    </w:rPr>
  </w:style>
  <w:style w:type="character" w:styleId="3" w:customStyle="1">
    <w:name w:val="Основной текст (3)"/>
    <w:basedOn w:val="DefaultParagraphFont"/>
    <w:qFormat/>
    <w:rsid w:val="00c6171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single"/>
      <w:lang w:val="ru-RU"/>
    </w:rPr>
  </w:style>
  <w:style w:type="character" w:styleId="Jscaseheadercasenum" w:customStyle="1">
    <w:name w:val="js-case-header-case_num"/>
    <w:basedOn w:val="DefaultParagraphFont"/>
    <w:qFormat/>
    <w:rsid w:val="00c90da2"/>
    <w:rPr/>
  </w:style>
  <w:style w:type="character" w:styleId="Style16">
    <w:name w:val="Выделение"/>
    <w:basedOn w:val="DefaultParagraphFont"/>
    <w:uiPriority w:val="20"/>
    <w:qFormat/>
    <w:rsid w:val="00c60ba9"/>
    <w:rPr>
      <w:i/>
      <w:iCs/>
    </w:rPr>
  </w:style>
  <w:style w:type="character" w:styleId="Style17" w:customStyle="1">
    <w:name w:val="Абзац списка Знак"/>
    <w:link w:val="ListParagraph"/>
    <w:uiPriority w:val="34"/>
    <w:qFormat/>
    <w:rsid w:val="00af66cc"/>
    <w:rPr>
      <w:rFonts w:eastAsia="" w:eastAsiaTheme="minorEastAsia"/>
      <w:lang w:eastAsia="ru-RU"/>
    </w:rPr>
  </w:style>
  <w:style w:type="character" w:styleId="Style18" w:customStyle="1">
    <w:name w:val="Интернет-ссылка"/>
    <w:rPr>
      <w:color w:val="000080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>
    <w:name w:val="Body Text Indent"/>
    <w:basedOn w:val="Normal"/>
    <w:link w:val="Style14"/>
    <w:semiHidden/>
    <w:unhideWhenUsed/>
    <w:rsid w:val="00c21717"/>
    <w:pPr>
      <w:spacing w:lineRule="auto" w:line="240" w:before="0" w:after="0"/>
      <w:ind w:firstLine="851"/>
    </w:pPr>
    <w:rPr>
      <w:rFonts w:ascii="Times New Roman" w:hAnsi="Times New Roman" w:eastAsia="Times New Roman" w:cs="Times New Roman"/>
      <w:sz w:val="26"/>
      <w:szCs w:val="20"/>
    </w:rPr>
  </w:style>
  <w:style w:type="paragraph" w:styleId="ListParagraph">
    <w:name w:val="List Paragraph"/>
    <w:basedOn w:val="Normal"/>
    <w:link w:val="Style17"/>
    <w:uiPriority w:val="34"/>
    <w:qFormat/>
    <w:rsid w:val="00c2171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217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1" w:customStyle="1">
    <w:name w:val="Основной текст2"/>
    <w:basedOn w:val="Normal"/>
    <w:link w:val="Style15"/>
    <w:qFormat/>
    <w:rsid w:val="00c6171c"/>
    <w:pPr>
      <w:widowControl w:val="false"/>
      <w:shd w:val="clear" w:color="auto" w:fill="FFFFFF"/>
      <w:spacing w:lineRule="exact" w:line="320" w:before="0" w:after="0"/>
      <w:jc w:val="both"/>
    </w:pPr>
    <w:rPr>
      <w:rFonts w:ascii="Times New Roman" w:hAnsi="Times New Roman" w:eastAsia="Times New Roman" w:cs="Times New Roman"/>
      <w:sz w:val="26"/>
      <w:szCs w:val="2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A6B5D54FC91A5D34616D251060795D5DE44AF095239F901D72A15F589283805FF15EA5BC5041B8F2F0C23FB6DC88DE03F151F4561n3k3N" TargetMode="External"/><Relationship Id="rId3" Type="http://schemas.openxmlformats.org/officeDocument/2006/relationships/hyperlink" Target="consultantplus://offline/ref=C83AB4C68527F63DC4E01B79A3D59D6871BC85B4CD15443CA2F041E7B9AF838F5F1F46BB91D22D322DF122DA9146B4FE97ECF4A60BF1b4z2P" TargetMode="External"/><Relationship Id="rId4" Type="http://schemas.openxmlformats.org/officeDocument/2006/relationships/hyperlink" Target="consultantplus://offline/ref=C83AB4C68527F63DC4E01B79A3D59D6871BC85B4CD15443CA2F041E7B9AF838F5F1F46BC94D6206D28E433829E45ABE197F3E8A409bFz1P" TargetMode="External"/><Relationship Id="rId5" Type="http://schemas.openxmlformats.org/officeDocument/2006/relationships/hyperlink" Target="consultantplus://offline/ref=C83AB4C68527F63DC4E01B79A3D59D6871BE80B5CB1D443CA2F041E7B9AF838F5F1F46BB96D32D3979AB32DED811B8E297F3EBA515F140B9b5zAP" TargetMode="External"/><Relationship Id="rId6" Type="http://schemas.openxmlformats.org/officeDocument/2006/relationships/hyperlink" Target="consultantplus://offline/ref=C83AB4C68527F63DC4E01B79A3D59D6871BE80B5CB1D443CA2F041E7B9AF838F5F1F46BB96D32E3A78AB32DED811B8E297F3EBA515F140B9b5zAP" TargetMode="External"/><Relationship Id="rId7" Type="http://schemas.openxmlformats.org/officeDocument/2006/relationships/hyperlink" Target="consultantplus://offline/ref=C83AB4C68527F63DC4E01B79A3D59D6871BE80B5CB1D443CA2F041E7B9AF838F5F1F46BB96D32F3E79AB32DED811B8E297F3EBA515F140B9b5zAP" TargetMode="External"/><Relationship Id="rId8" Type="http://schemas.openxmlformats.org/officeDocument/2006/relationships/hyperlink" Target="consultantplus://offline/ref=C83AB4C68527F63DC4E01B79A3D59D6871BE80B5CB1D443CA2F041E7B9AF838F5F1F46BB96D32F317AAB32DED811B8E297F3EBA515F140B9b5zAP" TargetMode="External"/><Relationship Id="rId9" Type="http://schemas.openxmlformats.org/officeDocument/2006/relationships/hyperlink" Target="consultantplus://offline/ref=C83AB4C68527F63DC4E01B79A3D59D6871BE80B5CB1D443CA2F041E7B9AF838F5F1F46BB96D32F3F70AB32DED811B8E297F3EBA515F140B9b5zAP" TargetMode="External"/><Relationship Id="rId10" Type="http://schemas.openxmlformats.org/officeDocument/2006/relationships/hyperlink" Target="consultantplus://offline/ref=C83AB4C68527F63DC4E0166AB6D59D6870B781B1C316443CA2F041E7B9AF838F4D1F1EB794D2353878BE648F9Eb4z6P" TargetMode="External"/><Relationship Id="rId11" Type="http://schemas.openxmlformats.org/officeDocument/2006/relationships/hyperlink" Target="consultantplus://offline/ref=C83AB4C68527F63DC4E00579A4BDC36472B5D9BAC915486BFCA747B0E6FF85DA1F5F40EEC7977E347BA1788E9D5AB7E094bEzFP" TargetMode="External"/><Relationship Id="rId12" Type="http://schemas.openxmlformats.org/officeDocument/2006/relationships/hyperlink" Target="consultantplus://offline/ref=C83AB4C68527F63DC4E01B79A3D59D6871BC8EB3CC13443CA2F041E7B9AF838F5F1F46BB91DB206D28E433829E45ABE197F3E8A409bFz1P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LibreOffice/7.3.0.3$Windows_X86_64 LibreOffice_project/0f246aa12d0eee4a0f7adcefbf7c878fc2238db3</Application>
  <AppVersion>15.0000</AppVersion>
  <Pages>14</Pages>
  <Words>4913</Words>
  <Characters>34144</Characters>
  <CharactersWithSpaces>38910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2022-11-23T17:30:00Z</dcterms:created>
  <dc:creator>Кристина Юрьевна Авдеева</dc:creator>
  <dc:description/>
  <dc:language>ru-RU</dc:language>
  <cp:lastModifiedBy/>
  <dcterms:modified xsi:type="dcterms:W3CDTF">2022-11-23T23:54:47Z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