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FF9" w:rsidRPr="00972CDF" w:rsidRDefault="002446DF" w:rsidP="00462F69">
      <w:pPr>
        <w:keepNext/>
        <w:keepLines/>
        <w:spacing w:after="0" w:line="240" w:lineRule="auto"/>
        <w:ind w:firstLine="709"/>
        <w:jc w:val="center"/>
        <w:rPr>
          <w:rFonts w:ascii="Times New Roman" w:hAnsi="Times New Roman" w:cs="Times New Roman"/>
          <w:b/>
          <w:sz w:val="26"/>
          <w:szCs w:val="26"/>
        </w:rPr>
      </w:pPr>
      <w:r w:rsidRPr="00972CDF">
        <w:rPr>
          <w:rFonts w:ascii="Times New Roman" w:hAnsi="Times New Roman" w:cs="Times New Roman"/>
          <w:b/>
          <w:sz w:val="26"/>
          <w:szCs w:val="26"/>
        </w:rPr>
        <w:t xml:space="preserve">Доклад </w:t>
      </w:r>
      <w:r w:rsidR="00F43901" w:rsidRPr="00972CDF">
        <w:rPr>
          <w:rFonts w:ascii="Times New Roman" w:hAnsi="Times New Roman" w:cs="Times New Roman"/>
          <w:b/>
          <w:sz w:val="26"/>
          <w:szCs w:val="26"/>
        </w:rPr>
        <w:t>Саратовского УФАС России с руководством по соблюдению обязательных требований, дающим разъяснение, какое поведение является неправомерным</w:t>
      </w:r>
    </w:p>
    <w:p w:rsidR="00F43901" w:rsidRPr="00972CDF" w:rsidRDefault="00F43901" w:rsidP="00972CDF">
      <w:pPr>
        <w:keepNext/>
        <w:keepLines/>
        <w:spacing w:after="0" w:line="240" w:lineRule="auto"/>
        <w:ind w:firstLine="709"/>
        <w:jc w:val="both"/>
        <w:rPr>
          <w:rFonts w:ascii="Times New Roman" w:hAnsi="Times New Roman" w:cs="Times New Roman"/>
          <w:sz w:val="26"/>
          <w:szCs w:val="26"/>
        </w:rPr>
      </w:pPr>
    </w:p>
    <w:p w:rsidR="00B80FF9" w:rsidRPr="00972CDF" w:rsidRDefault="00B80FF9" w:rsidP="00972CDF">
      <w:pPr>
        <w:pStyle w:val="2"/>
        <w:spacing w:line="240" w:lineRule="auto"/>
        <w:ind w:firstLine="709"/>
      </w:pPr>
    </w:p>
    <w:p w:rsidR="00B80FF9" w:rsidRPr="00972CDF" w:rsidRDefault="00B80FF9" w:rsidP="00972CDF">
      <w:pPr>
        <w:pStyle w:val="2"/>
        <w:spacing w:line="240" w:lineRule="auto"/>
        <w:ind w:firstLine="709"/>
        <w:rPr>
          <w:rStyle w:val="20"/>
          <w:sz w:val="26"/>
          <w:szCs w:val="26"/>
        </w:rPr>
      </w:pPr>
    </w:p>
    <w:p w:rsidR="00690753" w:rsidRPr="00972CDF" w:rsidRDefault="00690753" w:rsidP="00972CDF">
      <w:pPr>
        <w:pStyle w:val="a8"/>
        <w:numPr>
          <w:ilvl w:val="0"/>
          <w:numId w:val="5"/>
        </w:numPr>
        <w:spacing w:after="0" w:line="240" w:lineRule="auto"/>
        <w:jc w:val="center"/>
        <w:rPr>
          <w:rFonts w:ascii="Times New Roman" w:eastAsia="Times New Roman" w:hAnsi="Times New Roman" w:cs="Times New Roman"/>
          <w:b/>
          <w:bCs/>
          <w:color w:val="333333"/>
          <w:sz w:val="26"/>
          <w:szCs w:val="26"/>
        </w:rPr>
      </w:pPr>
      <w:r w:rsidRPr="00972CDF">
        <w:rPr>
          <w:rFonts w:ascii="Times New Roman" w:eastAsia="Times New Roman" w:hAnsi="Times New Roman" w:cs="Times New Roman"/>
          <w:b/>
          <w:bCs/>
          <w:color w:val="333333"/>
          <w:sz w:val="26"/>
          <w:szCs w:val="26"/>
        </w:rPr>
        <w:t>Антимонопольный контроль хозяйствующих субъектов</w:t>
      </w:r>
    </w:p>
    <w:p w:rsidR="00972CDF" w:rsidRPr="00972CDF" w:rsidRDefault="00972CDF" w:rsidP="00972CDF">
      <w:pPr>
        <w:pStyle w:val="a8"/>
        <w:spacing w:after="0" w:line="240" w:lineRule="auto"/>
        <w:ind w:left="1069"/>
        <w:rPr>
          <w:rFonts w:ascii="Times New Roman" w:eastAsia="Times New Roman" w:hAnsi="Times New Roman" w:cs="Times New Roman"/>
          <w:color w:val="333333"/>
          <w:sz w:val="26"/>
          <w:szCs w:val="26"/>
        </w:rPr>
      </w:pPr>
    </w:p>
    <w:p w:rsidR="00690753" w:rsidRPr="00690753" w:rsidRDefault="00690753" w:rsidP="00972CDF">
      <w:pPr>
        <w:spacing w:after="0" w:line="240" w:lineRule="auto"/>
        <w:ind w:firstLine="709"/>
        <w:jc w:val="both"/>
        <w:rPr>
          <w:rFonts w:ascii="Times New Roman" w:eastAsia="Times New Roman" w:hAnsi="Times New Roman" w:cs="Times New Roman"/>
          <w:color w:val="333333"/>
          <w:sz w:val="26"/>
          <w:szCs w:val="26"/>
        </w:rPr>
      </w:pPr>
      <w:r w:rsidRPr="00690753">
        <w:rPr>
          <w:rFonts w:ascii="Times New Roman" w:eastAsia="Times New Roman" w:hAnsi="Times New Roman" w:cs="Times New Roman"/>
          <w:b/>
          <w:bCs/>
          <w:color w:val="333333"/>
          <w:sz w:val="26"/>
          <w:szCs w:val="26"/>
        </w:rPr>
        <w:t>1.1. Контроль соблюдения требований статьи 10 Закона о защите конкуренции</w:t>
      </w:r>
    </w:p>
    <w:p w:rsidR="00B80FF9" w:rsidRPr="00972CDF" w:rsidRDefault="00B80FF9" w:rsidP="00462F69">
      <w:pPr>
        <w:pStyle w:val="2"/>
        <w:spacing w:line="240" w:lineRule="auto"/>
        <w:ind w:firstLine="709"/>
        <w:rPr>
          <w:highlight w:val="yellow"/>
        </w:rPr>
      </w:pPr>
    </w:p>
    <w:p w:rsidR="00462F69" w:rsidRPr="00462F69" w:rsidRDefault="00462F69" w:rsidP="00462F69">
      <w:pPr>
        <w:spacing w:after="0" w:line="240" w:lineRule="auto"/>
        <w:ind w:firstLine="709"/>
        <w:jc w:val="both"/>
        <w:rPr>
          <w:rFonts w:ascii="Times New Roman" w:eastAsiaTheme="minorHAnsi" w:hAnsi="Times New Roman" w:cs="Times New Roman"/>
          <w:sz w:val="26"/>
          <w:szCs w:val="26"/>
          <w:lang w:eastAsia="en-US"/>
        </w:rPr>
      </w:pPr>
      <w:r w:rsidRPr="00462F69">
        <w:rPr>
          <w:rFonts w:ascii="Times New Roman" w:eastAsiaTheme="minorHAnsi" w:hAnsi="Times New Roman" w:cs="Times New Roman"/>
          <w:sz w:val="26"/>
          <w:szCs w:val="26"/>
          <w:lang w:eastAsia="en-US"/>
        </w:rPr>
        <w:t xml:space="preserve">В соответствии с ч. 1 ст. 10 Федерального закона от 26.07.2006 № 135-ФЗ «О защите конкуренции» (далее – Закон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462F69" w:rsidRPr="00462F69" w:rsidRDefault="00462F69" w:rsidP="00462F69">
      <w:pPr>
        <w:spacing w:after="0" w:line="240" w:lineRule="auto"/>
        <w:ind w:firstLine="709"/>
        <w:jc w:val="both"/>
        <w:rPr>
          <w:rFonts w:ascii="Times New Roman" w:eastAsiaTheme="minorHAnsi" w:hAnsi="Times New Roman" w:cs="Times New Roman"/>
          <w:sz w:val="26"/>
          <w:szCs w:val="26"/>
          <w:lang w:eastAsia="en-US"/>
        </w:rPr>
      </w:pPr>
      <w:r w:rsidRPr="00462F69">
        <w:rPr>
          <w:rFonts w:ascii="Times New Roman" w:eastAsiaTheme="minorHAnsi" w:hAnsi="Times New Roman" w:cs="Times New Roman"/>
          <w:sz w:val="26"/>
          <w:szCs w:val="26"/>
          <w:lang w:eastAsia="en-US"/>
        </w:rPr>
        <w:t xml:space="preserve">Для квалификации действий хозяйствующего субъекта по ст. 10 Закона о защите конкуренции необходимо, чтобы на соответствующем товарном рынке он занимал доминирующее положение, совершил действия (бездействие), характеризующиеся как злоупотребление этим положением, и это привело (создало угрозу) к ограничению конкуренции или ущемлению прав лиц (хозяйствующих субъектов) в сфере предпринимательской деятельности либо неопределенного круга потребителей. </w:t>
      </w:r>
    </w:p>
    <w:p w:rsidR="00462F69" w:rsidRPr="00462F69" w:rsidRDefault="00462F69" w:rsidP="00462F69">
      <w:pPr>
        <w:spacing w:after="0" w:line="240" w:lineRule="auto"/>
        <w:ind w:firstLine="709"/>
        <w:jc w:val="both"/>
        <w:rPr>
          <w:rFonts w:ascii="Times New Roman" w:eastAsiaTheme="minorHAnsi" w:hAnsi="Times New Roman" w:cs="Times New Roman"/>
          <w:sz w:val="26"/>
          <w:szCs w:val="26"/>
          <w:lang w:eastAsia="en-US"/>
        </w:rPr>
      </w:pPr>
      <w:r w:rsidRPr="00462F69">
        <w:rPr>
          <w:rFonts w:ascii="Times New Roman" w:eastAsiaTheme="minorHAnsi" w:hAnsi="Times New Roman" w:cs="Times New Roman"/>
          <w:sz w:val="26"/>
          <w:szCs w:val="26"/>
          <w:lang w:eastAsia="en-US"/>
        </w:rPr>
        <w:t xml:space="preserve">Как следует из изложенного, злоупотребление доминирующим положением на товарном рынке характеризуется следующей совокупностью взаимосвязанных признаков: </w:t>
      </w:r>
    </w:p>
    <w:p w:rsidR="00462F69" w:rsidRPr="00462F69" w:rsidRDefault="00462F69" w:rsidP="00462F69">
      <w:pPr>
        <w:spacing w:after="0" w:line="240" w:lineRule="auto"/>
        <w:ind w:firstLine="709"/>
        <w:jc w:val="both"/>
        <w:rPr>
          <w:rFonts w:ascii="Times New Roman" w:eastAsiaTheme="minorHAnsi" w:hAnsi="Times New Roman" w:cs="Times New Roman"/>
          <w:sz w:val="26"/>
          <w:szCs w:val="26"/>
          <w:lang w:eastAsia="en-US"/>
        </w:rPr>
      </w:pPr>
      <w:r w:rsidRPr="00462F69">
        <w:rPr>
          <w:rFonts w:ascii="Times New Roman" w:eastAsiaTheme="minorHAnsi" w:hAnsi="Times New Roman" w:cs="Times New Roman"/>
          <w:sz w:val="26"/>
          <w:szCs w:val="26"/>
          <w:lang w:eastAsia="en-US"/>
        </w:rPr>
        <w:t xml:space="preserve">1) </w:t>
      </w:r>
      <w:r w:rsidRPr="00462F69">
        <w:rPr>
          <w:rFonts w:ascii="Times New Roman" w:eastAsiaTheme="minorHAnsi" w:hAnsi="Times New Roman" w:cs="Times New Roman"/>
          <w:sz w:val="26"/>
          <w:szCs w:val="26"/>
          <w:lang w:eastAsia="en-US"/>
        </w:rPr>
        <w:tab/>
        <w:t xml:space="preserve">доминирующее положение хозяйствующего субъекта; </w:t>
      </w:r>
    </w:p>
    <w:p w:rsidR="00462F69" w:rsidRPr="00462F69" w:rsidRDefault="00462F69" w:rsidP="00462F69">
      <w:pPr>
        <w:spacing w:after="0" w:line="240" w:lineRule="auto"/>
        <w:ind w:firstLine="709"/>
        <w:jc w:val="both"/>
        <w:rPr>
          <w:rFonts w:ascii="Times New Roman" w:eastAsiaTheme="minorHAnsi" w:hAnsi="Times New Roman" w:cs="Times New Roman"/>
          <w:sz w:val="26"/>
          <w:szCs w:val="26"/>
          <w:lang w:eastAsia="en-US"/>
        </w:rPr>
      </w:pPr>
      <w:r w:rsidRPr="00462F69">
        <w:rPr>
          <w:rFonts w:ascii="Times New Roman" w:eastAsiaTheme="minorHAnsi" w:hAnsi="Times New Roman" w:cs="Times New Roman"/>
          <w:sz w:val="26"/>
          <w:szCs w:val="26"/>
          <w:lang w:eastAsia="en-US"/>
        </w:rPr>
        <w:t xml:space="preserve">2) </w:t>
      </w:r>
      <w:r w:rsidRPr="00462F69">
        <w:rPr>
          <w:rFonts w:ascii="Times New Roman" w:eastAsiaTheme="minorHAnsi" w:hAnsi="Times New Roman" w:cs="Times New Roman"/>
          <w:sz w:val="26"/>
          <w:szCs w:val="26"/>
          <w:lang w:eastAsia="en-US"/>
        </w:rPr>
        <w:tab/>
        <w:t xml:space="preserve">совершение хозяйствующим субъектом действия (бездействия); </w:t>
      </w:r>
    </w:p>
    <w:p w:rsidR="00462F69" w:rsidRPr="00462F69" w:rsidRDefault="00462F69" w:rsidP="00462F69">
      <w:pPr>
        <w:spacing w:after="0" w:line="240" w:lineRule="auto"/>
        <w:ind w:firstLine="709"/>
        <w:jc w:val="both"/>
        <w:rPr>
          <w:rFonts w:ascii="Times New Roman" w:eastAsiaTheme="minorHAnsi" w:hAnsi="Times New Roman" w:cs="Times New Roman"/>
          <w:sz w:val="26"/>
          <w:szCs w:val="26"/>
          <w:lang w:eastAsia="en-US"/>
        </w:rPr>
      </w:pPr>
      <w:r w:rsidRPr="00462F69">
        <w:rPr>
          <w:rFonts w:ascii="Times New Roman" w:eastAsiaTheme="minorHAnsi" w:hAnsi="Times New Roman" w:cs="Times New Roman"/>
          <w:sz w:val="26"/>
          <w:szCs w:val="26"/>
          <w:lang w:eastAsia="en-US"/>
        </w:rPr>
        <w:t xml:space="preserve">3) </w:t>
      </w:r>
      <w:r w:rsidRPr="00462F69">
        <w:rPr>
          <w:rFonts w:ascii="Times New Roman" w:eastAsiaTheme="minorHAnsi" w:hAnsi="Times New Roman" w:cs="Times New Roman"/>
          <w:sz w:val="26"/>
          <w:szCs w:val="26"/>
          <w:lang w:eastAsia="en-US"/>
        </w:rPr>
        <w:tab/>
        <w:t xml:space="preserve">наступление или возможность наступления негативных последствий в виде 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462F69" w:rsidRPr="00462F69" w:rsidRDefault="00462F69" w:rsidP="00462F69">
      <w:pPr>
        <w:spacing w:after="0" w:line="240" w:lineRule="auto"/>
        <w:ind w:firstLine="709"/>
        <w:jc w:val="both"/>
        <w:rPr>
          <w:rFonts w:ascii="Times New Roman" w:eastAsiaTheme="minorHAnsi" w:hAnsi="Times New Roman" w:cs="Times New Roman"/>
          <w:sz w:val="26"/>
          <w:szCs w:val="26"/>
          <w:lang w:eastAsia="en-US"/>
        </w:rPr>
      </w:pPr>
      <w:r w:rsidRPr="00462F69">
        <w:rPr>
          <w:rFonts w:ascii="Times New Roman" w:eastAsiaTheme="minorHAnsi" w:hAnsi="Times New Roman" w:cs="Times New Roman"/>
          <w:sz w:val="26"/>
          <w:szCs w:val="26"/>
          <w:lang w:eastAsia="en-US"/>
        </w:rPr>
        <w:t xml:space="preserve">4) </w:t>
      </w:r>
      <w:r w:rsidRPr="00462F69">
        <w:rPr>
          <w:rFonts w:ascii="Times New Roman" w:eastAsiaTheme="minorHAnsi" w:hAnsi="Times New Roman" w:cs="Times New Roman"/>
          <w:sz w:val="26"/>
          <w:szCs w:val="26"/>
          <w:lang w:eastAsia="en-US"/>
        </w:rPr>
        <w:tab/>
        <w:t xml:space="preserve">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 </w:t>
      </w:r>
    </w:p>
    <w:p w:rsidR="00462F69" w:rsidRPr="00462F69" w:rsidRDefault="00462F69" w:rsidP="00462F69">
      <w:pPr>
        <w:spacing w:after="0" w:line="240" w:lineRule="auto"/>
        <w:ind w:firstLine="709"/>
        <w:jc w:val="both"/>
        <w:rPr>
          <w:rFonts w:ascii="Times New Roman" w:eastAsiaTheme="minorHAnsi" w:hAnsi="Times New Roman" w:cs="Times New Roman"/>
          <w:sz w:val="26"/>
          <w:szCs w:val="26"/>
          <w:lang w:eastAsia="en-US"/>
        </w:rPr>
      </w:pPr>
      <w:r w:rsidRPr="00462F69">
        <w:rPr>
          <w:rFonts w:ascii="Times New Roman" w:eastAsiaTheme="minorHAnsi" w:hAnsi="Times New Roman" w:cs="Times New Roman"/>
          <w:sz w:val="26"/>
          <w:szCs w:val="26"/>
          <w:lang w:eastAsia="en-US"/>
        </w:rPr>
        <w:t xml:space="preserve">Указанная позиция также изложена в разъяснениях Президиума ФАС России № 8 «О применении положений статьи 10 Закона о защите конкуренции», утвержденных протоколом Президиума ФАС России от 07.06.2017 № 11. </w:t>
      </w:r>
    </w:p>
    <w:p w:rsidR="00462F69" w:rsidRPr="00462F69" w:rsidRDefault="00462F69" w:rsidP="00462F69">
      <w:pPr>
        <w:spacing w:after="0" w:line="240" w:lineRule="auto"/>
        <w:ind w:firstLine="709"/>
        <w:jc w:val="both"/>
        <w:rPr>
          <w:rFonts w:ascii="Times New Roman" w:eastAsiaTheme="minorHAnsi" w:hAnsi="Times New Roman" w:cs="Times New Roman"/>
          <w:sz w:val="26"/>
          <w:szCs w:val="26"/>
          <w:lang w:eastAsia="en-US"/>
        </w:rPr>
      </w:pPr>
      <w:r w:rsidRPr="00462F69">
        <w:rPr>
          <w:rFonts w:ascii="Times New Roman" w:eastAsiaTheme="minorHAnsi" w:hAnsi="Times New Roman" w:cs="Times New Roman"/>
          <w:sz w:val="26"/>
          <w:szCs w:val="26"/>
          <w:lang w:eastAsia="en-US"/>
        </w:rPr>
        <w:t xml:space="preserve">Согласно п. 11 постановления Пленума Верховного Суда Российской Федерации от 04.03.2021 № 2 «О некоторых вопросах, возникающих в связи с применением судами антимонопольного законодательства» по смыслу </w:t>
      </w:r>
      <w:proofErr w:type="spellStart"/>
      <w:r w:rsidRPr="00462F69">
        <w:rPr>
          <w:rFonts w:ascii="Times New Roman" w:eastAsiaTheme="minorHAnsi" w:hAnsi="Times New Roman" w:cs="Times New Roman"/>
          <w:sz w:val="26"/>
          <w:szCs w:val="26"/>
          <w:lang w:eastAsia="en-US"/>
        </w:rPr>
        <w:t>абз</w:t>
      </w:r>
      <w:proofErr w:type="spellEnd"/>
      <w:r w:rsidRPr="00462F69">
        <w:rPr>
          <w:rFonts w:ascii="Times New Roman" w:eastAsiaTheme="minorHAnsi" w:hAnsi="Times New Roman" w:cs="Times New Roman"/>
          <w:sz w:val="26"/>
          <w:szCs w:val="26"/>
          <w:lang w:eastAsia="en-US"/>
        </w:rPr>
        <w:t xml:space="preserve">. 1 ч. 1 ст. 10 Закона о защите конкуренции во взаимосвязи с п. 3, 4 ст. 1 и </w:t>
      </w:r>
      <w:proofErr w:type="spellStart"/>
      <w:r w:rsidRPr="00462F69">
        <w:rPr>
          <w:rFonts w:ascii="Times New Roman" w:eastAsiaTheme="minorHAnsi" w:hAnsi="Times New Roman" w:cs="Times New Roman"/>
          <w:sz w:val="26"/>
          <w:szCs w:val="26"/>
          <w:lang w:eastAsia="en-US"/>
        </w:rPr>
        <w:t>абз</w:t>
      </w:r>
      <w:proofErr w:type="spellEnd"/>
      <w:r w:rsidRPr="00462F69">
        <w:rPr>
          <w:rFonts w:ascii="Times New Roman" w:eastAsiaTheme="minorHAnsi" w:hAnsi="Times New Roman" w:cs="Times New Roman"/>
          <w:sz w:val="26"/>
          <w:szCs w:val="26"/>
          <w:lang w:eastAsia="en-US"/>
        </w:rPr>
        <w:t xml:space="preserve">. 2 п. 1 ст. 10 Гражданского кодекса Российской Федерации злоупотреблением доминирующим положением признается поведение доминирующего на товарном рынке субъекта, если оно выражается в следующих формах, в том числе одной из них: недопущение, ограничение, устранение конкуренции на товарных рынках (например, устранение конкурентов с товарного рынка, затруднение доступа на рынок новых конкурентов); причинение вреда иным участникам рынка (хозяйствующим субъектам-конкурентам и потребителям, гражданам-потребителям как отдельной категории участников рынка), включая извлечение необоснованной (монопольной) выгоды за их счет, иное подобное ущемление прав участников рынка, для квалификации действий (бездействия) как </w:t>
      </w:r>
      <w:r w:rsidRPr="00462F69">
        <w:rPr>
          <w:rFonts w:ascii="Times New Roman" w:eastAsiaTheme="minorHAnsi" w:hAnsi="Times New Roman" w:cs="Times New Roman"/>
          <w:sz w:val="26"/>
          <w:szCs w:val="26"/>
          <w:lang w:eastAsia="en-US"/>
        </w:rPr>
        <w:lastRenderedPageBreak/>
        <w:t>злоупотребления доминирующим положением достаточно наличия (или угрозы наступления) любого из перечисленных в ч. 1 ст. 10 Закона о защите конкуренции последствий.</w:t>
      </w:r>
    </w:p>
    <w:p w:rsidR="00462F69" w:rsidRPr="00462F69" w:rsidRDefault="00462F69" w:rsidP="00462F69">
      <w:pPr>
        <w:spacing w:after="0" w:line="240" w:lineRule="auto"/>
        <w:ind w:firstLine="709"/>
        <w:jc w:val="both"/>
        <w:rPr>
          <w:rFonts w:ascii="Times New Roman" w:eastAsiaTheme="minorHAnsi" w:hAnsi="Times New Roman" w:cs="Times New Roman"/>
          <w:b/>
          <w:sz w:val="26"/>
          <w:szCs w:val="26"/>
          <w:lang w:eastAsia="en-US"/>
        </w:rPr>
      </w:pPr>
      <w:r w:rsidRPr="00462F69">
        <w:rPr>
          <w:rFonts w:ascii="Times New Roman" w:eastAsiaTheme="minorHAnsi" w:hAnsi="Times New Roman" w:cs="Times New Roman"/>
          <w:b/>
          <w:sz w:val="26"/>
          <w:szCs w:val="26"/>
          <w:lang w:eastAsia="en-US"/>
        </w:rPr>
        <w:t>Практика</w:t>
      </w:r>
    </w:p>
    <w:p w:rsidR="00462F69" w:rsidRPr="00462F69" w:rsidRDefault="00462F69" w:rsidP="00462F69">
      <w:pPr>
        <w:spacing w:after="0" w:line="240" w:lineRule="auto"/>
        <w:ind w:firstLine="709"/>
        <w:jc w:val="both"/>
        <w:rPr>
          <w:rFonts w:ascii="Times New Roman" w:eastAsiaTheme="minorHAnsi" w:hAnsi="Times New Roman" w:cs="Times New Roman"/>
          <w:sz w:val="26"/>
          <w:szCs w:val="26"/>
          <w:lang w:eastAsia="en-US"/>
        </w:rPr>
      </w:pPr>
      <w:r w:rsidRPr="00462F69">
        <w:rPr>
          <w:rFonts w:ascii="Times New Roman" w:eastAsiaTheme="minorHAnsi" w:hAnsi="Times New Roman" w:cs="Times New Roman"/>
          <w:sz w:val="26"/>
          <w:szCs w:val="26"/>
          <w:lang w:eastAsia="en-US"/>
        </w:rPr>
        <w:t>Саратовское УФАС России признало МКУ «</w:t>
      </w:r>
      <w:proofErr w:type="spellStart"/>
      <w:r w:rsidRPr="00462F69">
        <w:rPr>
          <w:rFonts w:ascii="Times New Roman" w:eastAsiaTheme="minorHAnsi" w:hAnsi="Times New Roman" w:cs="Times New Roman"/>
          <w:sz w:val="26"/>
          <w:szCs w:val="26"/>
          <w:lang w:eastAsia="en-US"/>
        </w:rPr>
        <w:t>ТеплоВодоРесурс</w:t>
      </w:r>
      <w:proofErr w:type="spellEnd"/>
      <w:r w:rsidRPr="00462F69">
        <w:rPr>
          <w:rFonts w:ascii="Times New Roman" w:eastAsiaTheme="minorHAnsi" w:hAnsi="Times New Roman" w:cs="Times New Roman"/>
          <w:sz w:val="26"/>
          <w:szCs w:val="26"/>
          <w:lang w:eastAsia="en-US"/>
        </w:rPr>
        <w:t>» нарушившим пункта 1 части 1 статьи 10 Закона о защите конкуренции.</w:t>
      </w:r>
    </w:p>
    <w:p w:rsidR="00462F69" w:rsidRPr="00462F69" w:rsidRDefault="00462F69" w:rsidP="00462F69">
      <w:pPr>
        <w:spacing w:after="0" w:line="240" w:lineRule="auto"/>
        <w:ind w:firstLine="709"/>
        <w:jc w:val="both"/>
        <w:rPr>
          <w:rFonts w:ascii="Times New Roman" w:eastAsiaTheme="minorHAnsi" w:hAnsi="Times New Roman" w:cs="Times New Roman"/>
          <w:sz w:val="26"/>
          <w:szCs w:val="26"/>
          <w:lang w:eastAsia="en-US"/>
        </w:rPr>
      </w:pPr>
      <w:r w:rsidRPr="00462F69">
        <w:rPr>
          <w:rFonts w:ascii="Times New Roman" w:eastAsiaTheme="minorHAnsi" w:hAnsi="Times New Roman" w:cs="Times New Roman"/>
          <w:sz w:val="26"/>
          <w:szCs w:val="26"/>
          <w:lang w:eastAsia="en-US"/>
        </w:rPr>
        <w:t>Нарушение выразилось в установлении и поддержании монопольно высокой цены на услуги по теплоснабжению конечного потребителя тепловой энергией в 2020 году. По результатам рассмотрения дела МКУ «</w:t>
      </w:r>
      <w:proofErr w:type="spellStart"/>
      <w:r w:rsidRPr="00462F69">
        <w:rPr>
          <w:rFonts w:ascii="Times New Roman" w:eastAsiaTheme="minorHAnsi" w:hAnsi="Times New Roman" w:cs="Times New Roman"/>
          <w:sz w:val="26"/>
          <w:szCs w:val="26"/>
          <w:lang w:eastAsia="en-US"/>
        </w:rPr>
        <w:t>ТеплоВодоРесурс</w:t>
      </w:r>
      <w:proofErr w:type="spellEnd"/>
      <w:r w:rsidRPr="00462F69">
        <w:rPr>
          <w:rFonts w:ascii="Times New Roman" w:eastAsiaTheme="minorHAnsi" w:hAnsi="Times New Roman" w:cs="Times New Roman"/>
          <w:sz w:val="26"/>
          <w:szCs w:val="26"/>
          <w:lang w:eastAsia="en-US"/>
        </w:rPr>
        <w:t>» выдано предписание о совершении действий, направленных на обеспечение конкуренции, которое МКУ «</w:t>
      </w:r>
      <w:proofErr w:type="spellStart"/>
      <w:r w:rsidRPr="00462F69">
        <w:rPr>
          <w:rFonts w:ascii="Times New Roman" w:eastAsiaTheme="minorHAnsi" w:hAnsi="Times New Roman" w:cs="Times New Roman"/>
          <w:sz w:val="26"/>
          <w:szCs w:val="26"/>
          <w:lang w:eastAsia="en-US"/>
        </w:rPr>
        <w:t>ТеплоВодоРесурс</w:t>
      </w:r>
      <w:proofErr w:type="spellEnd"/>
      <w:r w:rsidRPr="00462F69">
        <w:rPr>
          <w:rFonts w:ascii="Times New Roman" w:eastAsiaTheme="minorHAnsi" w:hAnsi="Times New Roman" w:cs="Times New Roman"/>
          <w:sz w:val="26"/>
          <w:szCs w:val="26"/>
          <w:lang w:eastAsia="en-US"/>
        </w:rPr>
        <w:t>» исполнило, предложив заключить контракт по цене на 13,5 % менее ранее предложенной.</w:t>
      </w:r>
    </w:p>
    <w:p w:rsidR="00462F69" w:rsidRPr="00462F69" w:rsidRDefault="00462F69" w:rsidP="00462F69">
      <w:pPr>
        <w:spacing w:after="0" w:line="240" w:lineRule="auto"/>
        <w:ind w:firstLine="709"/>
        <w:jc w:val="both"/>
        <w:rPr>
          <w:rFonts w:ascii="Times New Roman" w:eastAsiaTheme="minorHAnsi" w:hAnsi="Times New Roman" w:cs="Times New Roman"/>
          <w:sz w:val="26"/>
          <w:szCs w:val="26"/>
          <w:lang w:eastAsia="en-US"/>
        </w:rPr>
      </w:pPr>
      <w:r w:rsidRPr="00462F69">
        <w:rPr>
          <w:rFonts w:ascii="Times New Roman" w:eastAsiaTheme="minorHAnsi" w:hAnsi="Times New Roman" w:cs="Times New Roman"/>
          <w:sz w:val="26"/>
          <w:szCs w:val="26"/>
          <w:lang w:eastAsia="en-US"/>
        </w:rPr>
        <w:t>Основанием к рассмотрению дела послужило заявление ЖКС № 12 ФГБУ ЦЖКУ Минобороны России по ЦВО. Предлагаемая договорная цена на 2020 год МКУ «</w:t>
      </w:r>
      <w:proofErr w:type="spellStart"/>
      <w:r w:rsidRPr="00462F69">
        <w:rPr>
          <w:rFonts w:ascii="Times New Roman" w:eastAsiaTheme="minorHAnsi" w:hAnsi="Times New Roman" w:cs="Times New Roman"/>
          <w:sz w:val="26"/>
          <w:szCs w:val="26"/>
          <w:lang w:eastAsia="en-US"/>
        </w:rPr>
        <w:t>ТеплоВодоРесурс</w:t>
      </w:r>
      <w:proofErr w:type="spellEnd"/>
      <w:r w:rsidRPr="00462F69">
        <w:rPr>
          <w:rFonts w:ascii="Times New Roman" w:eastAsiaTheme="minorHAnsi" w:hAnsi="Times New Roman" w:cs="Times New Roman"/>
          <w:sz w:val="26"/>
          <w:szCs w:val="26"/>
          <w:lang w:eastAsia="en-US"/>
        </w:rPr>
        <w:t>» превышала действующий тариф более чем на 80%.</w:t>
      </w:r>
    </w:p>
    <w:p w:rsidR="00462F69" w:rsidRPr="00462F69" w:rsidRDefault="00462F69" w:rsidP="00462F69">
      <w:pPr>
        <w:spacing w:after="0" w:line="240" w:lineRule="auto"/>
        <w:ind w:firstLine="709"/>
        <w:jc w:val="both"/>
        <w:rPr>
          <w:rFonts w:ascii="Times New Roman" w:eastAsiaTheme="minorHAnsi" w:hAnsi="Times New Roman" w:cs="Times New Roman"/>
          <w:sz w:val="26"/>
          <w:szCs w:val="26"/>
          <w:lang w:eastAsia="en-US"/>
        </w:rPr>
      </w:pPr>
      <w:r w:rsidRPr="00462F69">
        <w:rPr>
          <w:rFonts w:ascii="Times New Roman" w:eastAsiaTheme="minorHAnsi" w:hAnsi="Times New Roman" w:cs="Times New Roman"/>
          <w:sz w:val="26"/>
          <w:szCs w:val="26"/>
          <w:lang w:eastAsia="en-US"/>
        </w:rPr>
        <w:t>Комиссией Саратовского УФАС России проанализированы затраты предприятия, часть из которых не была экономически обоснована, например</w:t>
      </w:r>
      <w:r>
        <w:rPr>
          <w:rFonts w:ascii="Times New Roman" w:eastAsiaTheme="minorHAnsi" w:hAnsi="Times New Roman" w:cs="Times New Roman"/>
          <w:sz w:val="26"/>
          <w:szCs w:val="26"/>
          <w:lang w:eastAsia="en-US"/>
        </w:rPr>
        <w:t>,</w:t>
      </w:r>
      <w:r w:rsidRPr="00462F69">
        <w:rPr>
          <w:rFonts w:ascii="Times New Roman" w:eastAsiaTheme="minorHAnsi" w:hAnsi="Times New Roman" w:cs="Times New Roman"/>
          <w:sz w:val="26"/>
          <w:szCs w:val="26"/>
          <w:lang w:eastAsia="en-US"/>
        </w:rPr>
        <w:t xml:space="preserve"> расходы на электроэнергию. Стоимость расходов на оплату труда на 2020 год у МКУ «</w:t>
      </w:r>
      <w:proofErr w:type="spellStart"/>
      <w:r w:rsidRPr="00462F69">
        <w:rPr>
          <w:rFonts w:ascii="Times New Roman" w:eastAsiaTheme="minorHAnsi" w:hAnsi="Times New Roman" w:cs="Times New Roman"/>
          <w:sz w:val="26"/>
          <w:szCs w:val="26"/>
          <w:lang w:eastAsia="en-US"/>
        </w:rPr>
        <w:t>ТеплоВодоРесурс</w:t>
      </w:r>
      <w:proofErr w:type="spellEnd"/>
      <w:r w:rsidRPr="00462F69">
        <w:rPr>
          <w:rFonts w:ascii="Times New Roman" w:eastAsiaTheme="minorHAnsi" w:hAnsi="Times New Roman" w:cs="Times New Roman"/>
          <w:sz w:val="26"/>
          <w:szCs w:val="26"/>
          <w:lang w:eastAsia="en-US"/>
        </w:rPr>
        <w:t>» была на 14,65% выше, чем у лица, ранее эксплуатирующего тот же имущественный комплекс, который содержал на 2 котельные больше, в связи с чем расходы на оплату труда для персонала для МКУ «</w:t>
      </w:r>
      <w:proofErr w:type="spellStart"/>
      <w:r w:rsidRPr="00462F69">
        <w:rPr>
          <w:rFonts w:ascii="Times New Roman" w:eastAsiaTheme="minorHAnsi" w:hAnsi="Times New Roman" w:cs="Times New Roman"/>
          <w:sz w:val="26"/>
          <w:szCs w:val="26"/>
          <w:lang w:eastAsia="en-US"/>
        </w:rPr>
        <w:t>ТеплоВодоРесурс</w:t>
      </w:r>
      <w:proofErr w:type="spellEnd"/>
      <w:r w:rsidRPr="00462F69">
        <w:rPr>
          <w:rFonts w:ascii="Times New Roman" w:eastAsiaTheme="minorHAnsi" w:hAnsi="Times New Roman" w:cs="Times New Roman"/>
          <w:sz w:val="26"/>
          <w:szCs w:val="26"/>
          <w:lang w:eastAsia="en-US"/>
        </w:rPr>
        <w:t>» не являлись обоснованными.</w:t>
      </w:r>
    </w:p>
    <w:p w:rsidR="00462F69" w:rsidRPr="00462F69" w:rsidRDefault="00462F69" w:rsidP="00462F69">
      <w:pPr>
        <w:spacing w:after="0" w:line="240" w:lineRule="auto"/>
        <w:ind w:firstLine="709"/>
        <w:jc w:val="both"/>
        <w:rPr>
          <w:rFonts w:ascii="Times New Roman" w:eastAsiaTheme="minorHAnsi" w:hAnsi="Times New Roman" w:cs="Times New Roman"/>
          <w:sz w:val="26"/>
          <w:szCs w:val="26"/>
          <w:lang w:eastAsia="en-US"/>
        </w:rPr>
      </w:pPr>
      <w:r w:rsidRPr="00462F69">
        <w:rPr>
          <w:rFonts w:ascii="Times New Roman" w:eastAsiaTheme="minorHAnsi" w:hAnsi="Times New Roman" w:cs="Times New Roman"/>
          <w:sz w:val="26"/>
          <w:szCs w:val="26"/>
          <w:lang w:eastAsia="en-US"/>
        </w:rPr>
        <w:t xml:space="preserve">Цены иных </w:t>
      </w:r>
      <w:proofErr w:type="spellStart"/>
      <w:r w:rsidRPr="00462F69">
        <w:rPr>
          <w:rFonts w:ascii="Times New Roman" w:eastAsiaTheme="minorHAnsi" w:hAnsi="Times New Roman" w:cs="Times New Roman"/>
          <w:sz w:val="26"/>
          <w:szCs w:val="26"/>
          <w:lang w:eastAsia="en-US"/>
        </w:rPr>
        <w:t>ресурсноснабжающих</w:t>
      </w:r>
      <w:proofErr w:type="spellEnd"/>
      <w:r w:rsidRPr="00462F69">
        <w:rPr>
          <w:rFonts w:ascii="Times New Roman" w:eastAsiaTheme="minorHAnsi" w:hAnsi="Times New Roman" w:cs="Times New Roman"/>
          <w:sz w:val="26"/>
          <w:szCs w:val="26"/>
          <w:lang w:eastAsia="en-US"/>
        </w:rPr>
        <w:t xml:space="preserve"> организаций на поставку тепловой энергии в 2020 году, по которым не осуществляется государственное регулирование, были установлены в меньшем размере, чем у МКУ «</w:t>
      </w:r>
      <w:proofErr w:type="spellStart"/>
      <w:r w:rsidRPr="00462F69">
        <w:rPr>
          <w:rFonts w:ascii="Times New Roman" w:eastAsiaTheme="minorHAnsi" w:hAnsi="Times New Roman" w:cs="Times New Roman"/>
          <w:sz w:val="26"/>
          <w:szCs w:val="26"/>
          <w:lang w:eastAsia="en-US"/>
        </w:rPr>
        <w:t>ТеплоВодоРесурс</w:t>
      </w:r>
      <w:proofErr w:type="spellEnd"/>
      <w:r w:rsidRPr="00462F69">
        <w:rPr>
          <w:rFonts w:ascii="Times New Roman" w:eastAsiaTheme="minorHAnsi" w:hAnsi="Times New Roman" w:cs="Times New Roman"/>
          <w:sz w:val="26"/>
          <w:szCs w:val="26"/>
          <w:lang w:eastAsia="en-US"/>
        </w:rPr>
        <w:t>».</w:t>
      </w:r>
    </w:p>
    <w:p w:rsidR="00B80FF9" w:rsidRPr="00462F69" w:rsidRDefault="00B80FF9" w:rsidP="00462F69">
      <w:pPr>
        <w:pStyle w:val="2"/>
        <w:shd w:val="clear" w:color="auto" w:fill="auto"/>
        <w:spacing w:line="240" w:lineRule="auto"/>
        <w:rPr>
          <w:b/>
          <w:bCs/>
        </w:rPr>
      </w:pPr>
      <w:bookmarkStart w:id="0" w:name="bookmark3"/>
    </w:p>
    <w:p w:rsidR="00B80FF9" w:rsidRPr="00972CDF" w:rsidRDefault="00462F69" w:rsidP="00972CDF">
      <w:pPr>
        <w:pStyle w:val="2"/>
        <w:shd w:val="clear" w:color="auto" w:fill="auto"/>
        <w:spacing w:line="240" w:lineRule="auto"/>
        <w:ind w:firstLine="709"/>
        <w:rPr>
          <w:b/>
          <w:bCs/>
          <w:color w:val="333333"/>
        </w:rPr>
      </w:pPr>
      <w:r>
        <w:rPr>
          <w:b/>
          <w:bCs/>
          <w:color w:val="333333"/>
        </w:rPr>
        <w:t>1.2</w:t>
      </w:r>
      <w:r w:rsidR="00690753" w:rsidRPr="00972CDF">
        <w:rPr>
          <w:b/>
          <w:bCs/>
          <w:color w:val="333333"/>
        </w:rPr>
        <w:t>. Контроль проведения торгов в порядке статьи 18.1 Закона о защите конкуренции (реализация арестованного имущества; реализация имущества в рамках процедуры банкротства; торги, проводимые в соответствии с Положением, утвержденным </w:t>
      </w:r>
      <w:r w:rsidR="00690753" w:rsidRPr="00972CDF">
        <w:rPr>
          <w:b/>
          <w:bCs/>
          <w:color w:val="000000"/>
          <w:shd w:val="clear" w:color="auto" w:fill="FFFFFF"/>
        </w:rPr>
        <w:t>постановлением Правительства РФ от 01.07.2016 № 615;</w:t>
      </w:r>
      <w:r w:rsidR="00690753" w:rsidRPr="00972CDF">
        <w:rPr>
          <w:b/>
          <w:bCs/>
          <w:color w:val="333333"/>
        </w:rPr>
        <w:t> обжалование в сфере строительства (сетевые организации) и т.п.).</w:t>
      </w:r>
    </w:p>
    <w:p w:rsidR="00690753" w:rsidRPr="00972CDF" w:rsidRDefault="00690753" w:rsidP="00972CDF">
      <w:pPr>
        <w:pStyle w:val="2"/>
        <w:shd w:val="clear" w:color="auto" w:fill="auto"/>
        <w:spacing w:line="240" w:lineRule="auto"/>
        <w:ind w:firstLine="709"/>
        <w:rPr>
          <w:b/>
          <w:bCs/>
          <w:highlight w:val="yellow"/>
        </w:rPr>
      </w:pPr>
    </w:p>
    <w:p w:rsidR="00B80FF9" w:rsidRPr="00972CDF" w:rsidRDefault="002446DF" w:rsidP="00972CDF">
      <w:pPr>
        <w:pStyle w:val="2"/>
        <w:shd w:val="clear" w:color="auto" w:fill="auto"/>
        <w:spacing w:line="240" w:lineRule="auto"/>
        <w:ind w:firstLine="709"/>
      </w:pPr>
      <w:r w:rsidRPr="00972CDF">
        <w:t xml:space="preserve">Одним из нарушений требований </w:t>
      </w:r>
      <w:r w:rsidRPr="00972CDF">
        <w:rPr>
          <w:iCs/>
        </w:rPr>
        <w:t>Закона о закупках</w:t>
      </w:r>
      <w:r w:rsidRPr="00972CDF">
        <w:t xml:space="preserve"> является неправомерное указание заказчиками в закупочных документациях двух начальных максимальных цен договора: с учетом НДС и одновременно без учета НДС, что не соответствует требования Закона о закупках. </w:t>
      </w:r>
    </w:p>
    <w:p w:rsidR="00B80FF9" w:rsidRPr="00972CDF" w:rsidRDefault="002446DF" w:rsidP="00972CDF">
      <w:pPr>
        <w:pStyle w:val="2"/>
        <w:shd w:val="clear" w:color="auto" w:fill="auto"/>
        <w:spacing w:line="240" w:lineRule="auto"/>
        <w:ind w:firstLine="709"/>
      </w:pPr>
      <w:r w:rsidRPr="00972CDF">
        <w:t>Наличие в документации о закупке нескольких значений начальной (максимальной) цены договора (цены лота) может привести к неоднозначному толкованию таких положений участниками закупки и необъективной оценке своих возможностей при определении в заявке ценового предложения такого участника.</w:t>
      </w:r>
    </w:p>
    <w:p w:rsidR="00B80FF9" w:rsidRPr="00972CDF" w:rsidRDefault="002446DF" w:rsidP="00972CDF">
      <w:pPr>
        <w:pStyle w:val="2"/>
        <w:shd w:val="clear" w:color="auto" w:fill="auto"/>
        <w:spacing w:line="240" w:lineRule="auto"/>
        <w:ind w:firstLine="709"/>
      </w:pPr>
      <w:r w:rsidRPr="00972CDF">
        <w:t>При проведении аукциона (и аналогичных процедур закупки) победитель определяется путем сравнения поступивших ценовых предложений и выигравшим признается лицо, предложившее наиболее низкую цену договора (при проведении конкурса (и аналогичных процедур закупки) ценовой критерий также учитывается для определения победителя закупки).</w:t>
      </w:r>
    </w:p>
    <w:p w:rsidR="00B80FF9" w:rsidRPr="00972CDF" w:rsidRDefault="002446DF" w:rsidP="00972CDF">
      <w:pPr>
        <w:pStyle w:val="2"/>
        <w:shd w:val="clear" w:color="auto" w:fill="auto"/>
        <w:spacing w:line="240" w:lineRule="auto"/>
        <w:ind w:firstLine="709"/>
      </w:pPr>
      <w:r w:rsidRPr="00972CDF">
        <w:t>При этом, заказчик не имеет правовых оснований производить какие-либо вычеты из ценовых предложений, применять иные особенности оценки и сопоставления заявок в отношении разных категорий налогоплательщиков.</w:t>
      </w:r>
    </w:p>
    <w:p w:rsidR="00B80FF9" w:rsidRPr="00972CDF" w:rsidRDefault="002446DF" w:rsidP="00972CDF">
      <w:pPr>
        <w:pStyle w:val="2"/>
        <w:shd w:val="clear" w:color="auto" w:fill="auto"/>
        <w:spacing w:line="240" w:lineRule="auto"/>
        <w:ind w:firstLine="709"/>
      </w:pPr>
      <w:r w:rsidRPr="00972CDF">
        <w:t xml:space="preserve">Таким образом, с лицом, выигравшим торги, заключается договор по цене, предложенной таким участником на условиях, указанных в заявке победителя, документации о закупке. При этом, требования, предъявляемые к участникам закупочной процедуры, применяются в равной степени ко всем участникам закупки и </w:t>
      </w:r>
      <w:r w:rsidRPr="00972CDF">
        <w:lastRenderedPageBreak/>
        <w:t>не могут содержать положения, обязывающие победителя закупки заключить договор по результатам закупки по цене меньшей, чем предложена в ходе проведения закупки.</w:t>
      </w:r>
    </w:p>
    <w:p w:rsidR="00B80FF9" w:rsidRPr="00972CDF" w:rsidRDefault="002446DF" w:rsidP="00972CDF">
      <w:pPr>
        <w:pStyle w:val="2"/>
        <w:shd w:val="clear" w:color="auto" w:fill="auto"/>
        <w:spacing w:line="240" w:lineRule="auto"/>
        <w:ind w:firstLine="709"/>
      </w:pPr>
      <w:r w:rsidRPr="00972CDF">
        <w:t>В Законе о закупках отсутствуют нормы о возможности при осуществлении оценки заявок участников закупочной процедуры применения единого базиса оценки цены предложенной участником без учета НДС. Таким образом, оценка цены договора, заключаемого по результатам закупки, осуществляется в соответствии с ценой, предложенной в заявке участника.</w:t>
      </w:r>
    </w:p>
    <w:p w:rsidR="00B80FF9" w:rsidRPr="00462F69" w:rsidRDefault="002446DF" w:rsidP="00462F69">
      <w:pPr>
        <w:pStyle w:val="2"/>
        <w:shd w:val="clear" w:color="auto" w:fill="auto"/>
        <w:spacing w:line="240" w:lineRule="auto"/>
        <w:ind w:firstLine="709"/>
      </w:pPr>
      <w:r w:rsidRPr="00972CDF">
        <w:t>Данная позиция отражена в письме ФАС России от 22.08.2018 № АД/66562/18 «По вопросу установления требований, к участникам, применяющим различные системы налогообложения (уменьшение или увеличение предложенной максимальной начальной цены на сумму НДС)».</w:t>
      </w:r>
    </w:p>
    <w:bookmarkEnd w:id="0"/>
    <w:p w:rsidR="00690753" w:rsidRPr="00972CDF" w:rsidRDefault="00690753" w:rsidP="00972CDF">
      <w:pPr>
        <w:keepNext/>
        <w:keepLines/>
        <w:spacing w:after="0" w:line="240" w:lineRule="auto"/>
        <w:ind w:firstLine="709"/>
        <w:jc w:val="both"/>
        <w:rPr>
          <w:rStyle w:val="20"/>
          <w:rFonts w:eastAsiaTheme="minorEastAsia"/>
          <w:bCs w:val="0"/>
          <w:sz w:val="26"/>
          <w:szCs w:val="26"/>
        </w:rPr>
      </w:pPr>
    </w:p>
    <w:p w:rsidR="00690753" w:rsidRPr="00972CDF" w:rsidRDefault="00462F69" w:rsidP="00462F69">
      <w:pPr>
        <w:pStyle w:val="a8"/>
        <w:autoSpaceDE w:val="0"/>
        <w:autoSpaceDN w:val="0"/>
        <w:adjustRightInd w:val="0"/>
        <w:spacing w:after="0" w:line="240" w:lineRule="auto"/>
        <w:ind w:left="709"/>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 xml:space="preserve">2. </w:t>
      </w:r>
      <w:r w:rsidR="00690753" w:rsidRPr="00972CDF">
        <w:rPr>
          <w:rFonts w:ascii="Times New Roman" w:eastAsiaTheme="minorHAnsi" w:hAnsi="Times New Roman" w:cs="Times New Roman"/>
          <w:b/>
          <w:sz w:val="26"/>
          <w:szCs w:val="26"/>
          <w:lang w:eastAsia="en-US"/>
        </w:rPr>
        <w:t>Антимонопольный контроль органов власти</w:t>
      </w:r>
    </w:p>
    <w:p w:rsidR="00690753" w:rsidRPr="00972CDF" w:rsidRDefault="00690753" w:rsidP="00972CDF">
      <w:pPr>
        <w:pStyle w:val="a8"/>
        <w:autoSpaceDE w:val="0"/>
        <w:autoSpaceDN w:val="0"/>
        <w:adjustRightInd w:val="0"/>
        <w:spacing w:after="0" w:line="240" w:lineRule="auto"/>
        <w:ind w:left="0" w:firstLine="709"/>
        <w:jc w:val="both"/>
        <w:rPr>
          <w:rFonts w:ascii="Times New Roman" w:eastAsiaTheme="minorHAnsi" w:hAnsi="Times New Roman" w:cs="Times New Roman"/>
          <w:b/>
          <w:sz w:val="26"/>
          <w:szCs w:val="26"/>
          <w:lang w:eastAsia="en-US"/>
        </w:rPr>
      </w:pP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b/>
          <w:sz w:val="26"/>
          <w:szCs w:val="26"/>
          <w:lang w:eastAsia="en-US"/>
        </w:rPr>
      </w:pPr>
      <w:r w:rsidRPr="00972CDF">
        <w:rPr>
          <w:rFonts w:ascii="Times New Roman" w:eastAsiaTheme="minorHAnsi" w:hAnsi="Times New Roman" w:cs="Times New Roman"/>
          <w:b/>
          <w:sz w:val="26"/>
          <w:szCs w:val="26"/>
          <w:lang w:eastAsia="en-US"/>
        </w:rPr>
        <w:t>2.1</w:t>
      </w:r>
      <w:r w:rsidRPr="00690753">
        <w:rPr>
          <w:rFonts w:ascii="Times New Roman" w:eastAsiaTheme="minorHAnsi" w:hAnsi="Times New Roman" w:cs="Times New Roman"/>
          <w:b/>
          <w:sz w:val="26"/>
          <w:szCs w:val="26"/>
          <w:lang w:eastAsia="en-US"/>
        </w:rPr>
        <w:t>. Контроль соблюдения требований статьи 15 Закона о защите конкуренции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690753" w:rsidRPr="00690753" w:rsidRDefault="00462F69"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hyperlink r:id="rId5" w:history="1">
        <w:r w:rsidR="00690753" w:rsidRPr="00690753">
          <w:rPr>
            <w:rFonts w:ascii="Times New Roman" w:eastAsiaTheme="minorHAnsi" w:hAnsi="Times New Roman" w:cs="Times New Roman"/>
            <w:sz w:val="26"/>
            <w:szCs w:val="26"/>
            <w:lang w:eastAsia="en-US"/>
          </w:rPr>
          <w:t>Закон</w:t>
        </w:r>
      </w:hyperlink>
      <w:r w:rsidR="00690753" w:rsidRPr="00690753">
        <w:rPr>
          <w:rFonts w:ascii="Times New Roman" w:eastAsiaTheme="minorHAnsi" w:hAnsi="Times New Roman" w:cs="Times New Roman"/>
          <w:sz w:val="26"/>
          <w:szCs w:val="26"/>
          <w:lang w:eastAsia="en-US"/>
        </w:rPr>
        <w:t xml:space="preserve"> о защите конкуренции определяет организационные и правовые основы предупреждения и пресечения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w:t>
      </w:r>
      <w:hyperlink r:id="rId6" w:history="1">
        <w:r w:rsidR="00690753" w:rsidRPr="00690753">
          <w:rPr>
            <w:rFonts w:ascii="Times New Roman" w:eastAsiaTheme="minorHAnsi" w:hAnsi="Times New Roman" w:cs="Times New Roman"/>
            <w:sz w:val="26"/>
            <w:szCs w:val="26"/>
            <w:lang w:eastAsia="en-US"/>
          </w:rPr>
          <w:t>пункт 2 части 1 статьи 1</w:t>
        </w:r>
      </w:hyperlink>
      <w:r w:rsidR="00690753" w:rsidRPr="00690753">
        <w:rPr>
          <w:rFonts w:ascii="Times New Roman" w:eastAsiaTheme="minorHAnsi" w:hAnsi="Times New Roman" w:cs="Times New Roman"/>
          <w:sz w:val="26"/>
          <w:szCs w:val="26"/>
          <w:lang w:eastAsia="en-US"/>
        </w:rPr>
        <w:t xml:space="preserve"> Закона).</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Антимонопольному контролю в соответствии со </w:t>
      </w:r>
      <w:hyperlink r:id="rId7" w:history="1">
        <w:r w:rsidRPr="00690753">
          <w:rPr>
            <w:rFonts w:ascii="Times New Roman" w:eastAsiaTheme="minorHAnsi" w:hAnsi="Times New Roman" w:cs="Times New Roman"/>
            <w:sz w:val="26"/>
            <w:szCs w:val="26"/>
            <w:lang w:eastAsia="en-US"/>
          </w:rPr>
          <w:t>статьями 15</w:t>
        </w:r>
      </w:hyperlink>
      <w:r w:rsidRPr="00690753">
        <w:rPr>
          <w:rFonts w:ascii="Times New Roman" w:eastAsiaTheme="minorHAnsi" w:hAnsi="Times New Roman" w:cs="Times New Roman"/>
          <w:sz w:val="26"/>
          <w:szCs w:val="26"/>
          <w:lang w:eastAsia="en-US"/>
        </w:rPr>
        <w:t xml:space="preserve"> и </w:t>
      </w:r>
      <w:hyperlink r:id="rId8" w:history="1">
        <w:r w:rsidRPr="00690753">
          <w:rPr>
            <w:rFonts w:ascii="Times New Roman" w:eastAsiaTheme="minorHAnsi" w:hAnsi="Times New Roman" w:cs="Times New Roman"/>
            <w:sz w:val="26"/>
            <w:szCs w:val="26"/>
            <w:lang w:eastAsia="en-US"/>
          </w:rPr>
          <w:t>16</w:t>
        </w:r>
      </w:hyperlink>
      <w:r w:rsidRPr="00690753">
        <w:rPr>
          <w:rFonts w:ascii="Times New Roman" w:eastAsiaTheme="minorHAnsi" w:hAnsi="Times New Roman" w:cs="Times New Roman"/>
          <w:sz w:val="26"/>
          <w:szCs w:val="26"/>
          <w:lang w:eastAsia="en-US"/>
        </w:rPr>
        <w:t xml:space="preserve"> Закона подлежат нормативные и индивидуальные правовые акты, иные решения лиц, перечисленных в </w:t>
      </w:r>
      <w:hyperlink r:id="rId9" w:history="1">
        <w:r w:rsidRPr="00690753">
          <w:rPr>
            <w:rFonts w:ascii="Times New Roman" w:eastAsiaTheme="minorHAnsi" w:hAnsi="Times New Roman" w:cs="Times New Roman"/>
            <w:sz w:val="26"/>
            <w:szCs w:val="26"/>
            <w:lang w:eastAsia="en-US"/>
          </w:rPr>
          <w:t>пункте 2 части 1 статьи 1</w:t>
        </w:r>
      </w:hyperlink>
      <w:r w:rsidRPr="00690753">
        <w:rPr>
          <w:rFonts w:ascii="Times New Roman" w:eastAsiaTheme="minorHAnsi" w:hAnsi="Times New Roman" w:cs="Times New Roman"/>
          <w:sz w:val="26"/>
          <w:szCs w:val="26"/>
          <w:lang w:eastAsia="en-US"/>
        </w:rPr>
        <w:t xml:space="preserve"> Закона, их действия (бездействие), соглашения и (или) согласованные действия, способные влиять на конкуренцию на товарных рынках, в том числе принятые (совершенные) в связи с реализацией властных полномочий.</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При наличии спора о соответствии </w:t>
      </w:r>
      <w:hyperlink r:id="rId10" w:history="1">
        <w:r w:rsidRPr="00690753">
          <w:rPr>
            <w:rFonts w:ascii="Times New Roman" w:eastAsiaTheme="minorHAnsi" w:hAnsi="Times New Roman" w:cs="Times New Roman"/>
            <w:sz w:val="26"/>
            <w:szCs w:val="26"/>
            <w:lang w:eastAsia="en-US"/>
          </w:rPr>
          <w:t>статье 15</w:t>
        </w:r>
      </w:hyperlink>
      <w:r w:rsidRPr="00690753">
        <w:rPr>
          <w:rFonts w:ascii="Times New Roman" w:eastAsiaTheme="minorHAnsi" w:hAnsi="Times New Roman" w:cs="Times New Roman"/>
          <w:sz w:val="26"/>
          <w:szCs w:val="26"/>
          <w:lang w:eastAsia="en-US"/>
        </w:rPr>
        <w:t xml:space="preserve"> Закона о защите конкуренции правовых актов, решений, действий (бездействия) антимонопольный орган должен доказать факт недопущения, ограничения, устранения конкуренции либо установить угрозу наступления таких последствий на определенном товарном рынке, в том числе в результате нарушения прав и законных интересов отдельных участников рынка, создания для них конкурентных преимуществ или препятствий в конкуренции на товарных рынках.</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Угроза наступления неблагоприятных последствий для конкуренции в результате принятия правовых актов, совершения действий (бездействия) предполагается и не требует дополнительного доказывания антимонопольным органом в случаях нарушения запретов, прямо сформулированных в </w:t>
      </w:r>
      <w:hyperlink r:id="rId11" w:history="1">
        <w:r w:rsidRPr="00690753">
          <w:rPr>
            <w:rFonts w:ascii="Times New Roman" w:eastAsiaTheme="minorHAnsi" w:hAnsi="Times New Roman" w:cs="Times New Roman"/>
            <w:sz w:val="26"/>
            <w:szCs w:val="26"/>
            <w:lang w:eastAsia="en-US"/>
          </w:rPr>
          <w:t>частях 1</w:t>
        </w:r>
      </w:hyperlink>
      <w:r w:rsidRPr="00690753">
        <w:rPr>
          <w:rFonts w:ascii="Times New Roman" w:eastAsiaTheme="minorHAnsi" w:hAnsi="Times New Roman" w:cs="Times New Roman"/>
          <w:sz w:val="26"/>
          <w:szCs w:val="26"/>
          <w:lang w:eastAsia="en-US"/>
        </w:rPr>
        <w:t xml:space="preserve"> - </w:t>
      </w:r>
      <w:hyperlink r:id="rId12" w:history="1">
        <w:r w:rsidRPr="00690753">
          <w:rPr>
            <w:rFonts w:ascii="Times New Roman" w:eastAsiaTheme="minorHAnsi" w:hAnsi="Times New Roman" w:cs="Times New Roman"/>
            <w:sz w:val="26"/>
            <w:szCs w:val="26"/>
            <w:lang w:eastAsia="en-US"/>
          </w:rPr>
          <w:t>3 статьи 15</w:t>
        </w:r>
      </w:hyperlink>
      <w:r w:rsidRPr="00690753">
        <w:rPr>
          <w:rFonts w:ascii="Times New Roman" w:eastAsiaTheme="minorHAnsi" w:hAnsi="Times New Roman" w:cs="Times New Roman"/>
          <w:sz w:val="26"/>
          <w:szCs w:val="26"/>
          <w:lang w:eastAsia="en-US"/>
        </w:rPr>
        <w:t xml:space="preserve"> Закона, в частности в случаях установления органами публичной власти и иными указанными в данной норме лицами запретов (введения ограничений) в отношении осуществления отдельных видов деятельности или производства определенных видов товаров, установления для приобретателей товаров ограничений выбора хозяйствующих субъектов, которые предоставляют такие товары.</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(Постановление Пленума Верховного Суда РФ от 04.03.2021 № 2 «О некоторых вопросах, возникающих в связи с применением судами антимонопольного законодательства»).</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В 2022 году Комитету по распоряжению муниципальной собственностью и земельными ресурсами Администрации </w:t>
      </w:r>
      <w:proofErr w:type="spellStart"/>
      <w:r w:rsidRPr="00690753">
        <w:rPr>
          <w:rFonts w:ascii="Times New Roman" w:eastAsiaTheme="minorHAnsi" w:hAnsi="Times New Roman" w:cs="Times New Roman"/>
          <w:sz w:val="26"/>
          <w:szCs w:val="26"/>
          <w:lang w:eastAsia="en-US"/>
        </w:rPr>
        <w:t>Балаковского</w:t>
      </w:r>
      <w:proofErr w:type="spellEnd"/>
      <w:r w:rsidRPr="00690753">
        <w:rPr>
          <w:rFonts w:ascii="Times New Roman" w:eastAsiaTheme="minorHAnsi" w:hAnsi="Times New Roman" w:cs="Times New Roman"/>
          <w:sz w:val="26"/>
          <w:szCs w:val="26"/>
          <w:lang w:eastAsia="en-US"/>
        </w:rPr>
        <w:t xml:space="preserve"> муниципального района выдано </w:t>
      </w:r>
      <w:r w:rsidRPr="00690753">
        <w:rPr>
          <w:rFonts w:ascii="Times New Roman" w:eastAsiaTheme="minorHAnsi" w:hAnsi="Times New Roman" w:cs="Times New Roman"/>
          <w:sz w:val="26"/>
          <w:szCs w:val="26"/>
          <w:lang w:eastAsia="en-US"/>
        </w:rPr>
        <w:lastRenderedPageBreak/>
        <w:t xml:space="preserve">предупреждение по признакам нарушения пункт 2 части 1 статьи 15 Закона о защите конкуренции.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Согласно пункту 2 части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Признаки нарушения установлены в неправомерном отказе Комитета хозяйствующему субъекту в предоставлении земельного участка для размещения объектов связи без торгов. Из анализа письма Комитета об отказе в предоставлении земельного участка не следует о наличии обоснованных оснований для отказа.</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Позиция Комитета сводится к тому, что по смыслу подпункта 4 пункта 2 статьи 39.6 Земельного кодекса РФ предоставление земельного участка юридическим лицам для размещения объектов, предназначенных для обеспечения электро-, тепло-, </w:t>
      </w:r>
      <w:proofErr w:type="spellStart"/>
      <w:r w:rsidRPr="00690753">
        <w:rPr>
          <w:rFonts w:ascii="Times New Roman" w:eastAsiaTheme="minorHAnsi" w:hAnsi="Times New Roman" w:cs="Times New Roman"/>
          <w:sz w:val="26"/>
          <w:szCs w:val="26"/>
          <w:lang w:eastAsia="en-US"/>
        </w:rPr>
        <w:t>газо</w:t>
      </w:r>
      <w:proofErr w:type="spellEnd"/>
      <w:r w:rsidRPr="00690753">
        <w:rPr>
          <w:rFonts w:ascii="Times New Roman" w:eastAsiaTheme="minorHAnsi" w:hAnsi="Times New Roman" w:cs="Times New Roman"/>
          <w:sz w:val="26"/>
          <w:szCs w:val="26"/>
          <w:lang w:eastAsia="en-US"/>
        </w:rPr>
        <w:t xml:space="preserve"> и водоснабжения, водоотведения, связи, нефтепроводов, без проведения торгов осуществляется в целях размещения объектов, имеющих вспомогательную функцию по отношению к другим основным объектам, и которые самостоятельного значения не имеют. Комитет указал, что из заявления хозяйствующего субъекта не следует, по отношению к какому основному объекту предполагается размещение антенно-мачтового сооружения связи. Отказ Комитета также содержит указание на то, что поскольку разрешение на строительство сооружения не требуется, хозяйствующий субъект не может претендовать на получение земельного участка без применения конкурентных процедур.</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Саратовским УФАС России установлено, что постановлением Администрации </w:t>
      </w:r>
      <w:proofErr w:type="spellStart"/>
      <w:r w:rsidRPr="00690753">
        <w:rPr>
          <w:rFonts w:ascii="Times New Roman" w:eastAsiaTheme="minorHAnsi" w:hAnsi="Times New Roman" w:cs="Times New Roman"/>
          <w:sz w:val="26"/>
          <w:szCs w:val="26"/>
          <w:lang w:eastAsia="en-US"/>
        </w:rPr>
        <w:t>Балаковского</w:t>
      </w:r>
      <w:proofErr w:type="spellEnd"/>
      <w:r w:rsidRPr="00690753">
        <w:rPr>
          <w:rFonts w:ascii="Times New Roman" w:eastAsiaTheme="minorHAnsi" w:hAnsi="Times New Roman" w:cs="Times New Roman"/>
          <w:sz w:val="26"/>
          <w:szCs w:val="26"/>
          <w:lang w:eastAsia="en-US"/>
        </w:rPr>
        <w:t xml:space="preserve"> муниципального района Саратовской области от 27 октября 2021 года № 3823 «О предварительном согласовании представления земельного участка и утверждении схемы расположения земельного участка на кадастровом плане территории»: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 утверждена схема расположения испрашиваемого земельного участка в территориальной зоне ИТ-1 (зона инженерной инфраструктуры),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 предварительно согласовано предоставление в аренду земельного участка с разрешенным использованием — связь,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установлено, что хозяйствующий субъект вправе обратиться с заявлением об осуществлении государственного кадастрового учета в Управление Федеральной службы государственной регистрации, кадастра и картографии по Саратовской области.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Согласно подпункту 4 пункта 2 статьи 39.6 ЗК РФ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Планируемое к размещению на земельном участке антенно-мачтовое сооружение связи является объектом связи и размещается для обеспечения услуг связи объектов, расположенных на территории хутора на территории </w:t>
      </w:r>
      <w:proofErr w:type="spellStart"/>
      <w:r w:rsidRPr="00690753">
        <w:rPr>
          <w:rFonts w:ascii="Times New Roman" w:eastAsiaTheme="minorHAnsi" w:hAnsi="Times New Roman" w:cs="Times New Roman"/>
          <w:sz w:val="26"/>
          <w:szCs w:val="26"/>
          <w:lang w:eastAsia="en-US"/>
        </w:rPr>
        <w:t>Балаковского</w:t>
      </w:r>
      <w:proofErr w:type="spellEnd"/>
      <w:r w:rsidRPr="00690753">
        <w:rPr>
          <w:rFonts w:ascii="Times New Roman" w:eastAsiaTheme="minorHAnsi" w:hAnsi="Times New Roman" w:cs="Times New Roman"/>
          <w:sz w:val="26"/>
          <w:szCs w:val="26"/>
          <w:lang w:eastAsia="en-US"/>
        </w:rPr>
        <w:t xml:space="preserve"> района.</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lastRenderedPageBreak/>
        <w:t xml:space="preserve">Не требуется получение разрешения на строительство в отношении объектов связи, указанных в пункте 4.5 части 17 статьи 51 </w:t>
      </w:r>
      <w:proofErr w:type="spellStart"/>
      <w:r w:rsidRPr="00690753">
        <w:rPr>
          <w:rFonts w:ascii="Times New Roman" w:eastAsiaTheme="minorHAnsi" w:hAnsi="Times New Roman" w:cs="Times New Roman"/>
          <w:sz w:val="26"/>
          <w:szCs w:val="26"/>
          <w:lang w:eastAsia="en-US"/>
        </w:rPr>
        <w:t>ГрК</w:t>
      </w:r>
      <w:proofErr w:type="spellEnd"/>
      <w:r w:rsidRPr="00690753">
        <w:rPr>
          <w:rFonts w:ascii="Times New Roman" w:eastAsiaTheme="minorHAnsi" w:hAnsi="Times New Roman" w:cs="Times New Roman"/>
          <w:sz w:val="26"/>
          <w:szCs w:val="26"/>
          <w:lang w:eastAsia="en-US"/>
        </w:rPr>
        <w:t xml:space="preserve"> РФ и, на основании пункта 5 части 17 статьи 51 </w:t>
      </w:r>
      <w:proofErr w:type="spellStart"/>
      <w:r w:rsidRPr="00690753">
        <w:rPr>
          <w:rFonts w:ascii="Times New Roman" w:eastAsiaTheme="minorHAnsi" w:hAnsi="Times New Roman" w:cs="Times New Roman"/>
          <w:sz w:val="26"/>
          <w:szCs w:val="26"/>
          <w:lang w:eastAsia="en-US"/>
        </w:rPr>
        <w:t>ГрК</w:t>
      </w:r>
      <w:proofErr w:type="spellEnd"/>
      <w:r w:rsidRPr="00690753">
        <w:rPr>
          <w:rFonts w:ascii="Times New Roman" w:eastAsiaTheme="minorHAnsi" w:hAnsi="Times New Roman" w:cs="Times New Roman"/>
          <w:sz w:val="26"/>
          <w:szCs w:val="26"/>
          <w:lang w:eastAsia="en-US"/>
        </w:rPr>
        <w:t xml:space="preserve"> РФ, установленных постановлением Правительства Российской Федерации от 17 августа 2019 № 1064, при этом необходимо отметить, что положения части 17 статьи 51 </w:t>
      </w:r>
      <w:proofErr w:type="spellStart"/>
      <w:r w:rsidRPr="00690753">
        <w:rPr>
          <w:rFonts w:ascii="Times New Roman" w:eastAsiaTheme="minorHAnsi" w:hAnsi="Times New Roman" w:cs="Times New Roman"/>
          <w:sz w:val="26"/>
          <w:szCs w:val="26"/>
          <w:lang w:eastAsia="en-US"/>
        </w:rPr>
        <w:t>ГрК</w:t>
      </w:r>
      <w:proofErr w:type="spellEnd"/>
      <w:r w:rsidRPr="00690753">
        <w:rPr>
          <w:rFonts w:ascii="Times New Roman" w:eastAsiaTheme="minorHAnsi" w:hAnsi="Times New Roman" w:cs="Times New Roman"/>
          <w:sz w:val="26"/>
          <w:szCs w:val="26"/>
          <w:lang w:eastAsia="en-US"/>
        </w:rPr>
        <w:t xml:space="preserve"> РФ 2022-7597 не распространяются на сооружения связи - антенные опоры (мачты и башни) высотой от 50 до 75 метров.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Высота </w:t>
      </w:r>
      <w:proofErr w:type="spellStart"/>
      <w:r w:rsidRPr="00690753">
        <w:rPr>
          <w:rFonts w:ascii="Times New Roman" w:eastAsiaTheme="minorHAnsi" w:hAnsi="Times New Roman" w:cs="Times New Roman"/>
          <w:sz w:val="26"/>
          <w:szCs w:val="26"/>
          <w:lang w:eastAsia="en-US"/>
        </w:rPr>
        <w:t>антено</w:t>
      </w:r>
      <w:proofErr w:type="spellEnd"/>
      <w:r w:rsidRPr="00690753">
        <w:rPr>
          <w:rFonts w:ascii="Times New Roman" w:eastAsiaTheme="minorHAnsi" w:hAnsi="Times New Roman" w:cs="Times New Roman"/>
          <w:sz w:val="26"/>
          <w:szCs w:val="26"/>
          <w:lang w:eastAsia="en-US"/>
        </w:rPr>
        <w:t xml:space="preserve">-мачтового сооружения, планируемого к размещению АО «ПБК» на земельном участке, составляет более 50 метров.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Учитывая изложенное, для размещения такого сооружения необходимо разрешение на строительство.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Учитывая изложенное, выводы Комитета в письме от 15.12.2021 № 5721 об отсутствии оснований для заключения договора аренды на основании подпункта 4 пункта 2 статьи 39.6 ЗК РФ являются необоснованными.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Комитету выдано предупреждение о повторном рассмотрении заявления о предоставлении в аренду земельного участка.</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b/>
          <w:sz w:val="26"/>
          <w:szCs w:val="26"/>
          <w:lang w:eastAsia="en-US"/>
        </w:rPr>
      </w:pPr>
    </w:p>
    <w:p w:rsidR="00690753" w:rsidRPr="00972CDF" w:rsidRDefault="00972CDF" w:rsidP="00972CDF">
      <w:pPr>
        <w:autoSpaceDE w:val="0"/>
        <w:autoSpaceDN w:val="0"/>
        <w:adjustRightInd w:val="0"/>
        <w:spacing w:after="0" w:line="240" w:lineRule="auto"/>
        <w:ind w:firstLine="709"/>
        <w:jc w:val="both"/>
        <w:rPr>
          <w:rFonts w:ascii="Times New Roman" w:eastAsiaTheme="minorHAnsi" w:hAnsi="Times New Roman" w:cs="Times New Roman"/>
          <w:b/>
          <w:sz w:val="26"/>
          <w:szCs w:val="26"/>
          <w:lang w:eastAsia="en-US"/>
        </w:rPr>
      </w:pPr>
      <w:r w:rsidRPr="00972CDF">
        <w:rPr>
          <w:rFonts w:ascii="Times New Roman" w:eastAsiaTheme="minorHAnsi" w:hAnsi="Times New Roman" w:cs="Times New Roman"/>
          <w:b/>
          <w:sz w:val="26"/>
          <w:szCs w:val="26"/>
          <w:lang w:eastAsia="en-US"/>
        </w:rPr>
        <w:t>2.2. Контроль проведения торгов в порядке статьи 18.1 Закона о защите конкуренции (торги органов исполнительной власти, органов государственной власти субъекта Российской Федерации, органов местного самоуправления либо иных органов, осуществляющих функции указанных органов, обжалование в сфере строительства (сетевые организации)</w:t>
      </w:r>
    </w:p>
    <w:p w:rsidR="00972CDF" w:rsidRPr="00972CDF" w:rsidRDefault="00972CDF" w:rsidP="00972CDF">
      <w:pPr>
        <w:autoSpaceDE w:val="0"/>
        <w:autoSpaceDN w:val="0"/>
        <w:adjustRightInd w:val="0"/>
        <w:spacing w:after="0" w:line="240" w:lineRule="auto"/>
        <w:ind w:firstLine="709"/>
        <w:jc w:val="both"/>
        <w:rPr>
          <w:rFonts w:ascii="Times New Roman" w:eastAsiaTheme="minorHAnsi" w:hAnsi="Times New Roman" w:cs="Times New Roman"/>
          <w:b/>
          <w:sz w:val="26"/>
          <w:szCs w:val="26"/>
          <w:lang w:eastAsia="en-US"/>
        </w:rPr>
      </w:pPr>
    </w:p>
    <w:p w:rsidR="00972CDF" w:rsidRPr="002446DF" w:rsidRDefault="00972CDF" w:rsidP="00972CDF">
      <w:pPr>
        <w:pStyle w:val="2"/>
        <w:shd w:val="clear" w:color="auto" w:fill="auto"/>
        <w:spacing w:line="240" w:lineRule="auto"/>
        <w:ind w:firstLine="709"/>
      </w:pPr>
      <w:r w:rsidRPr="002446DF">
        <w:t xml:space="preserve">Одним из типичных нарушений норм Земельного кодекса РФ при организации торгов на право заключения договоров аренды, купли-продажи земельных участков является отсутствие в извещении о проведении </w:t>
      </w:r>
      <w:proofErr w:type="gramStart"/>
      <w:r w:rsidRPr="002446DF">
        <w:t>торгов</w:t>
      </w:r>
      <w:proofErr w:type="gramEnd"/>
      <w:r w:rsidRPr="002446DF">
        <w:t xml:space="preserve"> предусмотренных правилами землепользования и застройки видов разрешенного использования земельных участков. </w:t>
      </w:r>
    </w:p>
    <w:p w:rsidR="00972CDF" w:rsidRPr="002446DF" w:rsidRDefault="00462F69" w:rsidP="00972CDF">
      <w:pPr>
        <w:pStyle w:val="2"/>
        <w:shd w:val="clear" w:color="auto" w:fill="auto"/>
        <w:spacing w:line="240" w:lineRule="auto"/>
        <w:ind w:firstLine="709"/>
      </w:pPr>
      <w:hyperlink r:id="rId13">
        <w:r w:rsidR="00972CDF" w:rsidRPr="002446DF">
          <w:t>Подпунктом 4 пункта 21 статьи 39.11</w:t>
        </w:r>
      </w:hyperlink>
      <w:r w:rsidR="00972CDF" w:rsidRPr="002446DF">
        <w:t xml:space="preserve"> Земельного кодекса Российской Федерации (далее - ЗК РФ) предусмотрено, что извещение о проведении аукциона должно содержать сведения о предмете аукциона, в том числе, сведения о разрешенном использовании земельного участка.</w:t>
      </w:r>
    </w:p>
    <w:p w:rsidR="00972CDF" w:rsidRPr="002446DF" w:rsidRDefault="00972CDF" w:rsidP="00972CDF">
      <w:pPr>
        <w:pStyle w:val="2"/>
        <w:shd w:val="clear" w:color="auto" w:fill="auto"/>
        <w:spacing w:line="240" w:lineRule="auto"/>
        <w:ind w:firstLine="709"/>
      </w:pPr>
      <w:r w:rsidRPr="002446DF">
        <w:t xml:space="preserve">Кроме того, земельный участок, находящийся в государственной или муниципальной собственности, согласно </w:t>
      </w:r>
      <w:hyperlink r:id="rId14">
        <w:r w:rsidRPr="002446DF">
          <w:t>подпункту 5 пункта 8 статьи 39.11</w:t>
        </w:r>
      </w:hyperlink>
      <w:r w:rsidRPr="002446DF">
        <w:t xml:space="preserve"> ЗК РФ не может быть предметом аукциона, если в отношении земельного участка не установлено разрешенное использование.</w:t>
      </w:r>
    </w:p>
    <w:p w:rsidR="00972CDF" w:rsidRPr="002446DF" w:rsidRDefault="00972CDF" w:rsidP="00972CDF">
      <w:pPr>
        <w:pStyle w:val="2"/>
        <w:shd w:val="clear" w:color="auto" w:fill="auto"/>
        <w:spacing w:line="240" w:lineRule="auto"/>
        <w:ind w:firstLine="709"/>
      </w:pPr>
      <w:r w:rsidRPr="002446DF">
        <w:t xml:space="preserve">В соответствии с </w:t>
      </w:r>
      <w:hyperlink r:id="rId15">
        <w:r w:rsidRPr="002446DF">
          <w:t>частью 2 статьи 37</w:t>
        </w:r>
      </w:hyperlink>
      <w:r w:rsidRPr="002446DF">
        <w:t xml:space="preserve"> Градостроительного кодекса Российской Федерации (далее - </w:t>
      </w:r>
      <w:proofErr w:type="spellStart"/>
      <w:r w:rsidRPr="002446DF">
        <w:t>ГрК</w:t>
      </w:r>
      <w:proofErr w:type="spellEnd"/>
      <w:r w:rsidRPr="002446DF">
        <w:t xml:space="preserve"> РФ) применительно к каждой территориальной зоне устанавливаются виды разрешенного использования земельных участков. Согласно </w:t>
      </w:r>
      <w:hyperlink r:id="rId16">
        <w:r w:rsidRPr="002446DF">
          <w:t>пункту 1 части 1 статьи 34</w:t>
        </w:r>
      </w:hyperlink>
      <w:r w:rsidRPr="002446DF">
        <w:t xml:space="preserve"> </w:t>
      </w:r>
      <w:proofErr w:type="spellStart"/>
      <w:r w:rsidRPr="002446DF">
        <w:t>ГрК</w:t>
      </w:r>
      <w:proofErr w:type="spellEnd"/>
      <w:r w:rsidRPr="002446DF">
        <w:t xml:space="preserve"> РФ при подготовке правил землепользования и застройки границы территориальных зон устанавливаются с учетом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72CDF" w:rsidRPr="002446DF" w:rsidRDefault="00972CDF" w:rsidP="00972CDF">
      <w:pPr>
        <w:pStyle w:val="2"/>
        <w:shd w:val="clear" w:color="auto" w:fill="auto"/>
        <w:spacing w:line="240" w:lineRule="auto"/>
        <w:ind w:firstLine="709"/>
      </w:pPr>
      <w:r w:rsidRPr="002446DF">
        <w:t xml:space="preserve">В соответствии с </w:t>
      </w:r>
      <w:hyperlink r:id="rId17">
        <w:r w:rsidRPr="002446DF">
          <w:t>частями 2</w:t>
        </w:r>
      </w:hyperlink>
      <w:r w:rsidRPr="002446DF">
        <w:t xml:space="preserve"> и </w:t>
      </w:r>
      <w:hyperlink r:id="rId18">
        <w:r w:rsidRPr="002446DF">
          <w:t>6 статьи 30</w:t>
        </w:r>
      </w:hyperlink>
      <w:r w:rsidRPr="002446DF">
        <w:t xml:space="preserve"> </w:t>
      </w:r>
      <w:proofErr w:type="spellStart"/>
      <w:r w:rsidRPr="002446DF">
        <w:t>ГрК</w:t>
      </w:r>
      <w:proofErr w:type="spellEnd"/>
      <w:r w:rsidRPr="002446DF">
        <w:t xml:space="preserve"> РФ градостроительные регламенты являются элементом правил землепользования и застройки. В градостроительном регламенте в отношении земельных участков указываются, в том числе, виды разрешенного использования земельных участков.</w:t>
      </w:r>
    </w:p>
    <w:p w:rsidR="00972CDF" w:rsidRPr="002446DF" w:rsidRDefault="00972CDF" w:rsidP="00972CDF">
      <w:pPr>
        <w:pStyle w:val="2"/>
        <w:shd w:val="clear" w:color="auto" w:fill="auto"/>
        <w:spacing w:line="240" w:lineRule="auto"/>
        <w:ind w:firstLine="709"/>
      </w:pPr>
      <w:r w:rsidRPr="002446DF">
        <w:t xml:space="preserve">Правила землепользования и застройки согласно </w:t>
      </w:r>
      <w:hyperlink r:id="rId19">
        <w:r w:rsidRPr="002446DF">
          <w:t>пункту 4 части 1 статьи 30</w:t>
        </w:r>
      </w:hyperlink>
      <w:r w:rsidRPr="002446DF">
        <w:t xml:space="preserve"> </w:t>
      </w:r>
      <w:proofErr w:type="spellStart"/>
      <w:r w:rsidRPr="002446DF">
        <w:t>ГрК</w:t>
      </w:r>
      <w:proofErr w:type="spellEnd"/>
      <w:r w:rsidRPr="002446DF">
        <w:t xml:space="preserve"> РФ разрабатываются в целях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w:t>
      </w:r>
    </w:p>
    <w:p w:rsidR="00972CDF" w:rsidRPr="002446DF" w:rsidRDefault="00972CDF" w:rsidP="00972CDF">
      <w:pPr>
        <w:pStyle w:val="2"/>
        <w:shd w:val="clear" w:color="auto" w:fill="auto"/>
        <w:spacing w:line="240" w:lineRule="auto"/>
        <w:ind w:firstLine="709"/>
      </w:pPr>
      <w:r w:rsidRPr="002446DF">
        <w:t xml:space="preserve">Таким образом, предоставление возможности выбора наиболее эффективных видов разрешенного использования земельных участков из предусмотренных </w:t>
      </w:r>
      <w:r w:rsidRPr="002446DF">
        <w:lastRenderedPageBreak/>
        <w:t>правилами землепользования и застройки повышает инвестиционную привлекательность земельного участка, способствует развитию конкуренции при проведении аукционов по продаже земельных участков или аукционов на право заключения договора аренды земельных участков.</w:t>
      </w:r>
    </w:p>
    <w:p w:rsidR="00972CDF" w:rsidRPr="002446DF" w:rsidRDefault="00972CDF" w:rsidP="00972CDF">
      <w:pPr>
        <w:pStyle w:val="2"/>
        <w:shd w:val="clear" w:color="auto" w:fill="auto"/>
        <w:spacing w:line="240" w:lineRule="auto"/>
        <w:ind w:firstLine="709"/>
      </w:pPr>
      <w:r w:rsidRPr="002446DF">
        <w:t>Исходя из вышеизложенного, организатор торгов в извещении о проведении аукциона должен указывать все виды разрешенного использования земельного участка, которые содержатся в правилах землепользования и застройки.</w:t>
      </w:r>
    </w:p>
    <w:p w:rsidR="00972CDF" w:rsidRPr="002446DF" w:rsidRDefault="00972CDF" w:rsidP="00972CDF">
      <w:pPr>
        <w:pStyle w:val="2"/>
        <w:shd w:val="clear" w:color="auto" w:fill="auto"/>
        <w:spacing w:line="240" w:lineRule="auto"/>
        <w:ind w:firstLine="709"/>
      </w:pPr>
      <w:r w:rsidRPr="002446DF">
        <w:t>Данная позиция подтверждена решениями Верховного суда Российской Федерации и 17-ого Арбитражного апелляционного суда (</w:t>
      </w:r>
      <w:hyperlink r:id="rId20">
        <w:r w:rsidRPr="002446DF">
          <w:t>дела № А60-46186/2018</w:t>
        </w:r>
      </w:hyperlink>
      <w:r w:rsidRPr="002446DF">
        <w:t xml:space="preserve">, </w:t>
      </w:r>
      <w:hyperlink r:id="rId21">
        <w:r w:rsidRPr="002446DF">
          <w:t>А60-30216/2018</w:t>
        </w:r>
      </w:hyperlink>
      <w:r w:rsidRPr="002446DF">
        <w:t>).</w:t>
      </w:r>
    </w:p>
    <w:p w:rsidR="00972CDF" w:rsidRPr="00972CDF" w:rsidRDefault="00972CDF" w:rsidP="00972CDF">
      <w:pPr>
        <w:pStyle w:val="2"/>
        <w:shd w:val="clear" w:color="auto" w:fill="auto"/>
        <w:spacing w:line="240" w:lineRule="auto"/>
        <w:ind w:firstLine="709"/>
      </w:pPr>
      <w:r w:rsidRPr="002446DF">
        <w:t xml:space="preserve">При этом, в силу </w:t>
      </w:r>
      <w:hyperlink r:id="rId22">
        <w:r w:rsidRPr="002446DF">
          <w:t>части 1 статьи 33</w:t>
        </w:r>
      </w:hyperlink>
      <w:r w:rsidRPr="002446DF">
        <w:t xml:space="preserve"> Федерального закона от 13.07.2015 № 218-ФЗ «О государственной регистрации недвижимости» заинтересованное лицо вправе обратиться в орган регистрации прав с заявлением о внесении изменений в сведения, содержащиеся в Едином государственном реестре недвижимости, в случае их несоответствия сведениям, содержащимся в правилах землепользования и застройки.</w:t>
      </w:r>
    </w:p>
    <w:p w:rsidR="00972CDF" w:rsidRPr="00972CDF" w:rsidRDefault="00972CDF" w:rsidP="002446DF">
      <w:pPr>
        <w:autoSpaceDE w:val="0"/>
        <w:autoSpaceDN w:val="0"/>
        <w:adjustRightInd w:val="0"/>
        <w:spacing w:after="0" w:line="240" w:lineRule="auto"/>
        <w:jc w:val="both"/>
        <w:rPr>
          <w:rFonts w:ascii="Times New Roman" w:eastAsiaTheme="minorHAnsi" w:hAnsi="Times New Roman" w:cs="Times New Roman"/>
          <w:b/>
          <w:sz w:val="26"/>
          <w:szCs w:val="26"/>
          <w:lang w:eastAsia="en-US"/>
        </w:rPr>
      </w:pP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b/>
          <w:sz w:val="26"/>
          <w:szCs w:val="26"/>
          <w:lang w:eastAsia="en-US"/>
        </w:rPr>
      </w:pPr>
      <w:r w:rsidRPr="00972CDF">
        <w:rPr>
          <w:rFonts w:ascii="Times New Roman" w:eastAsiaTheme="minorHAnsi" w:hAnsi="Times New Roman" w:cs="Times New Roman"/>
          <w:b/>
          <w:sz w:val="26"/>
          <w:szCs w:val="26"/>
          <w:lang w:eastAsia="en-US"/>
        </w:rPr>
        <w:t xml:space="preserve">2.3. </w:t>
      </w:r>
      <w:r w:rsidRPr="00690753">
        <w:rPr>
          <w:rFonts w:ascii="Times New Roman" w:eastAsiaTheme="minorHAnsi" w:hAnsi="Times New Roman" w:cs="Times New Roman"/>
          <w:b/>
          <w:sz w:val="26"/>
          <w:szCs w:val="26"/>
          <w:lang w:eastAsia="en-US"/>
        </w:rPr>
        <w:t>Рассмотрение заявлений о предоставлении государственных и муниципальных преференций</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b/>
          <w:sz w:val="26"/>
          <w:szCs w:val="26"/>
          <w:lang w:eastAsia="en-US"/>
        </w:rPr>
      </w:pP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Понятие государственных и муниципальных преференций содержится в </w:t>
      </w:r>
      <w:hyperlink r:id="rId23" w:history="1">
        <w:r w:rsidRPr="00690753">
          <w:rPr>
            <w:rFonts w:ascii="Times New Roman" w:eastAsiaTheme="minorHAnsi" w:hAnsi="Times New Roman" w:cs="Times New Roman"/>
            <w:sz w:val="26"/>
            <w:szCs w:val="26"/>
            <w:lang w:eastAsia="en-US"/>
          </w:rPr>
          <w:t>пункте 20 статьи 4</w:t>
        </w:r>
      </w:hyperlink>
      <w:r w:rsidRPr="00690753">
        <w:rPr>
          <w:rFonts w:ascii="Times New Roman" w:eastAsiaTheme="minorHAnsi" w:hAnsi="Times New Roman" w:cs="Times New Roman"/>
          <w:sz w:val="26"/>
          <w:szCs w:val="26"/>
          <w:lang w:eastAsia="en-US"/>
        </w:rPr>
        <w:t xml:space="preserve"> Закона о защите конкуренции, согласно которому государственные и муниципальные преференции - это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Порядок, условия и цели предоставления государственных или муниципальных преференций определены в </w:t>
      </w:r>
      <w:hyperlink r:id="rId24" w:history="1">
        <w:r w:rsidRPr="00690753">
          <w:rPr>
            <w:rFonts w:ascii="Times New Roman" w:eastAsiaTheme="minorHAnsi" w:hAnsi="Times New Roman" w:cs="Times New Roman"/>
            <w:sz w:val="26"/>
            <w:szCs w:val="26"/>
            <w:lang w:eastAsia="en-US"/>
          </w:rPr>
          <w:t>главе 5</w:t>
        </w:r>
      </w:hyperlink>
      <w:r w:rsidRPr="00690753">
        <w:rPr>
          <w:rFonts w:ascii="Times New Roman" w:eastAsiaTheme="minorHAnsi" w:hAnsi="Times New Roman" w:cs="Times New Roman"/>
          <w:sz w:val="26"/>
          <w:szCs w:val="26"/>
          <w:lang w:eastAsia="en-US"/>
        </w:rPr>
        <w:t xml:space="preserve"> Закона о защите конкуренции.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Действующая редакция </w:t>
      </w:r>
      <w:hyperlink r:id="rId25" w:history="1">
        <w:r w:rsidRPr="00690753">
          <w:rPr>
            <w:rFonts w:ascii="Times New Roman" w:eastAsiaTheme="minorHAnsi" w:hAnsi="Times New Roman" w:cs="Times New Roman"/>
            <w:sz w:val="26"/>
            <w:szCs w:val="26"/>
            <w:lang w:eastAsia="en-US"/>
          </w:rPr>
          <w:t>Закона</w:t>
        </w:r>
      </w:hyperlink>
      <w:r w:rsidRPr="00690753">
        <w:rPr>
          <w:rFonts w:ascii="Times New Roman" w:eastAsiaTheme="minorHAnsi" w:hAnsi="Times New Roman" w:cs="Times New Roman"/>
          <w:sz w:val="26"/>
          <w:szCs w:val="26"/>
          <w:lang w:eastAsia="en-US"/>
        </w:rPr>
        <w:t xml:space="preserve"> о защите конкуренции прямо не определяет признаки государственных или муниципальных преференций, вместе с тем, исходя из понятия преференций могут быть выделены следующие признаки, характеризующие их:</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особый субъектный состав;</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форма предоставления преференции;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адресность и индивидуальность предоставляемой преференции;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обеспечение для конкретного хозяйствующего субъекта более выгодных условий деятельности путем предоставления преференции.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К признакам государственной или муниципальной преференции относится определенный </w:t>
      </w:r>
      <w:hyperlink r:id="rId26" w:history="1">
        <w:r w:rsidRPr="00690753">
          <w:rPr>
            <w:rFonts w:ascii="Times New Roman" w:eastAsiaTheme="minorHAnsi" w:hAnsi="Times New Roman" w:cs="Times New Roman"/>
            <w:sz w:val="26"/>
            <w:szCs w:val="26"/>
            <w:lang w:eastAsia="en-US"/>
          </w:rPr>
          <w:t>Законом</w:t>
        </w:r>
      </w:hyperlink>
      <w:r w:rsidRPr="00690753">
        <w:rPr>
          <w:rFonts w:ascii="Times New Roman" w:eastAsiaTheme="minorHAnsi" w:hAnsi="Times New Roman" w:cs="Times New Roman"/>
          <w:sz w:val="26"/>
          <w:szCs w:val="26"/>
          <w:lang w:eastAsia="en-US"/>
        </w:rPr>
        <w:t xml:space="preserve"> о защите конкуренции субъектный состав, определяющий закрытый перечень специальных субъектов права предоставления преференции и субъектов, имеющих право на получение соответствующих преференций.</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Из </w:t>
      </w:r>
      <w:hyperlink r:id="rId27" w:history="1">
        <w:r w:rsidRPr="00690753">
          <w:rPr>
            <w:rFonts w:ascii="Times New Roman" w:eastAsiaTheme="minorHAnsi" w:hAnsi="Times New Roman" w:cs="Times New Roman"/>
            <w:sz w:val="26"/>
            <w:szCs w:val="26"/>
            <w:lang w:eastAsia="en-US"/>
          </w:rPr>
          <w:t>пункта 20 статьи 4</w:t>
        </w:r>
      </w:hyperlink>
      <w:r w:rsidRPr="00690753">
        <w:rPr>
          <w:rFonts w:ascii="Times New Roman" w:eastAsiaTheme="minorHAnsi" w:hAnsi="Times New Roman" w:cs="Times New Roman"/>
          <w:sz w:val="26"/>
          <w:szCs w:val="26"/>
          <w:lang w:eastAsia="en-US"/>
        </w:rPr>
        <w:t xml:space="preserve">, а также </w:t>
      </w:r>
      <w:hyperlink r:id="rId28" w:history="1">
        <w:r w:rsidRPr="00690753">
          <w:rPr>
            <w:rFonts w:ascii="Times New Roman" w:eastAsiaTheme="minorHAnsi" w:hAnsi="Times New Roman" w:cs="Times New Roman"/>
            <w:sz w:val="26"/>
            <w:szCs w:val="26"/>
            <w:lang w:eastAsia="en-US"/>
          </w:rPr>
          <w:t>части 1 статьи 19</w:t>
        </w:r>
      </w:hyperlink>
      <w:r w:rsidRPr="00690753">
        <w:rPr>
          <w:rFonts w:ascii="Times New Roman" w:eastAsiaTheme="minorHAnsi" w:hAnsi="Times New Roman" w:cs="Times New Roman"/>
          <w:sz w:val="26"/>
          <w:szCs w:val="26"/>
          <w:lang w:eastAsia="en-US"/>
        </w:rPr>
        <w:t xml:space="preserve"> Закона о защите конкуренции следует, что государственные или муниципальные преференции вправе предоставлять:</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 федеральные органы исполнительной власти, структура которых утверждена </w:t>
      </w:r>
      <w:hyperlink r:id="rId29" w:history="1">
        <w:r w:rsidRPr="00690753">
          <w:rPr>
            <w:rFonts w:ascii="Times New Roman" w:eastAsiaTheme="minorHAnsi" w:hAnsi="Times New Roman" w:cs="Times New Roman"/>
            <w:sz w:val="26"/>
            <w:szCs w:val="26"/>
            <w:lang w:eastAsia="en-US"/>
          </w:rPr>
          <w:t>Указом</w:t>
        </w:r>
      </w:hyperlink>
      <w:r w:rsidRPr="00690753">
        <w:rPr>
          <w:rFonts w:ascii="Times New Roman" w:eastAsiaTheme="minorHAnsi" w:hAnsi="Times New Roman" w:cs="Times New Roman"/>
          <w:sz w:val="26"/>
          <w:szCs w:val="26"/>
          <w:lang w:eastAsia="en-US"/>
        </w:rPr>
        <w:t xml:space="preserve"> Президента Российской Федерации от 21.01.2020 № 21 «О структуре федеральных органов исполнительной власти»;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 государственной власти субъектов Российской Федерации, которые определены в соответствии с Федеральным </w:t>
      </w:r>
      <w:hyperlink r:id="rId30" w:history="1">
        <w:r w:rsidRPr="00690753">
          <w:rPr>
            <w:rFonts w:ascii="Times New Roman" w:eastAsiaTheme="minorHAnsi" w:hAnsi="Times New Roman" w:cs="Times New Roman"/>
            <w:sz w:val="26"/>
            <w:szCs w:val="26"/>
            <w:lang w:eastAsia="en-US"/>
          </w:rPr>
          <w:t>законом</w:t>
        </w:r>
      </w:hyperlink>
      <w:r w:rsidRPr="00690753">
        <w:rPr>
          <w:rFonts w:ascii="Times New Roman" w:eastAsiaTheme="minorHAnsi" w:hAnsi="Times New Roman" w:cs="Times New Roman"/>
          <w:sz w:val="26"/>
          <w:szCs w:val="26"/>
          <w:lang w:eastAsia="en-US"/>
        </w:rPr>
        <w:t xml:space="preserve"> от 06.10.1999 № 184-ФЗ «Об общих принципах организации законодательных (представительных) и </w:t>
      </w:r>
      <w:r w:rsidRPr="00690753">
        <w:rPr>
          <w:rFonts w:ascii="Times New Roman" w:eastAsiaTheme="minorHAnsi" w:hAnsi="Times New Roman" w:cs="Times New Roman"/>
          <w:sz w:val="26"/>
          <w:szCs w:val="26"/>
          <w:lang w:eastAsia="en-US"/>
        </w:rPr>
        <w:lastRenderedPageBreak/>
        <w:t>исполнительных органов государственной власти субъектов Российской Федерации» (далее - Закон N 184-ФЗ);</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 органы местного самоуправления, которые определены в соответствии с Федеральным </w:t>
      </w:r>
      <w:hyperlink r:id="rId31" w:history="1">
        <w:r w:rsidRPr="00690753">
          <w:rPr>
            <w:rFonts w:ascii="Times New Roman" w:eastAsiaTheme="minorHAnsi" w:hAnsi="Times New Roman" w:cs="Times New Roman"/>
            <w:sz w:val="26"/>
            <w:szCs w:val="26"/>
            <w:lang w:eastAsia="en-US"/>
          </w:rPr>
          <w:t>законом</w:t>
        </w:r>
      </w:hyperlink>
      <w:r w:rsidRPr="00690753">
        <w:rPr>
          <w:rFonts w:ascii="Times New Roman" w:eastAsiaTheme="minorHAnsi" w:hAnsi="Times New Roman" w:cs="Times New Roman"/>
          <w:sz w:val="26"/>
          <w:szCs w:val="26"/>
          <w:lang w:eastAsia="en-US"/>
        </w:rPr>
        <w:t xml:space="preserve"> от 06.10.2003 № 131-ФЗ «Об общих принципах организации местного самоуправления в Российской Федерации» (далее - Закон об ОМС);</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иные осуществляющие функции указанных органов органы или организации. При этом распоряжение такими организациями государственным или муниципальным имуществом правомерно только в случае наличия согласия собственника имущества, если такое согласие требуется в силу законодательства Российской Федерации.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При этом за получением согласия антимонопольного органа на предоставление государственной или муниципальной преференции обязан обращаться именно орган (организация), планирующий предоставление такой преференции.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В связи с изложенным при рассмотрении антимонопольным органом заявлений о даче согласия на предоставление государственной или муниципальной преференции может возникать вопрос об отнесении дачи согласия собственником на распоряжение государственным или муниципальным имуществом унитарными предприятиями, автономными, бюджетными и казенными учреждениями к государственной или муниципальной преференции.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Так, государственное или муниципальное имущество может быть закреплено на праве хозяйственного ведения или оперативного управления за организациями.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Из </w:t>
      </w:r>
      <w:hyperlink r:id="rId32" w:history="1">
        <w:r w:rsidRPr="00690753">
          <w:rPr>
            <w:rFonts w:ascii="Times New Roman" w:eastAsiaTheme="minorHAnsi" w:hAnsi="Times New Roman" w:cs="Times New Roman"/>
            <w:sz w:val="26"/>
            <w:szCs w:val="26"/>
            <w:lang w:eastAsia="en-US"/>
          </w:rPr>
          <w:t>пункта 2 статьи 295</w:t>
        </w:r>
      </w:hyperlink>
      <w:r w:rsidRPr="00690753">
        <w:rPr>
          <w:rFonts w:ascii="Times New Roman" w:eastAsiaTheme="minorHAnsi" w:hAnsi="Times New Roman" w:cs="Times New Roman"/>
          <w:sz w:val="26"/>
          <w:szCs w:val="26"/>
          <w:lang w:eastAsia="en-US"/>
        </w:rPr>
        <w:t xml:space="preserve"> Гражданского кодекса Российской Федерации (далее - ГК РФ) следует, что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690753" w:rsidRPr="00690753" w:rsidRDefault="00462F69"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hyperlink r:id="rId33" w:history="1">
        <w:r w:rsidR="00690753" w:rsidRPr="00690753">
          <w:rPr>
            <w:rFonts w:ascii="Times New Roman" w:eastAsiaTheme="minorHAnsi" w:hAnsi="Times New Roman" w:cs="Times New Roman"/>
            <w:sz w:val="26"/>
            <w:szCs w:val="26"/>
            <w:lang w:eastAsia="en-US"/>
          </w:rPr>
          <w:t>Пунктом 1 статьи 296</w:t>
        </w:r>
      </w:hyperlink>
      <w:r w:rsidR="00690753" w:rsidRPr="00690753">
        <w:rPr>
          <w:rFonts w:ascii="Times New Roman" w:eastAsiaTheme="minorHAnsi" w:hAnsi="Times New Roman" w:cs="Times New Roman"/>
          <w:sz w:val="26"/>
          <w:szCs w:val="26"/>
          <w:lang w:eastAsia="en-US"/>
        </w:rPr>
        <w:t xml:space="preserve"> ГК РФ установлено, что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В силу </w:t>
      </w:r>
      <w:hyperlink r:id="rId34" w:history="1">
        <w:r w:rsidRPr="00690753">
          <w:rPr>
            <w:rFonts w:ascii="Times New Roman" w:eastAsiaTheme="minorHAnsi" w:hAnsi="Times New Roman" w:cs="Times New Roman"/>
            <w:sz w:val="26"/>
            <w:szCs w:val="26"/>
            <w:lang w:eastAsia="en-US"/>
          </w:rPr>
          <w:t>пункта 1 статьи 297</w:t>
        </w:r>
      </w:hyperlink>
      <w:r w:rsidRPr="00690753">
        <w:rPr>
          <w:rFonts w:ascii="Times New Roman" w:eastAsiaTheme="minorHAnsi" w:hAnsi="Times New Roman" w:cs="Times New Roman"/>
          <w:sz w:val="26"/>
          <w:szCs w:val="26"/>
          <w:lang w:eastAsia="en-US"/>
        </w:rPr>
        <w:t xml:space="preserve"> ГК РФ казенное предприятие вправе отчуждать или иным способом распоряжаться закрепленным за ним имуществом лишь с согласия собственника этого имущества. Также в силу </w:t>
      </w:r>
      <w:hyperlink r:id="rId35" w:history="1">
        <w:r w:rsidRPr="00690753">
          <w:rPr>
            <w:rFonts w:ascii="Times New Roman" w:eastAsiaTheme="minorHAnsi" w:hAnsi="Times New Roman" w:cs="Times New Roman"/>
            <w:sz w:val="26"/>
            <w:szCs w:val="26"/>
            <w:lang w:eastAsia="en-US"/>
          </w:rPr>
          <w:t>пунктов 2</w:t>
        </w:r>
      </w:hyperlink>
      <w:r w:rsidRPr="00690753">
        <w:rPr>
          <w:rFonts w:ascii="Times New Roman" w:eastAsiaTheme="minorHAnsi" w:hAnsi="Times New Roman" w:cs="Times New Roman"/>
          <w:sz w:val="26"/>
          <w:szCs w:val="26"/>
          <w:lang w:eastAsia="en-US"/>
        </w:rPr>
        <w:t xml:space="preserve">, </w:t>
      </w:r>
      <w:hyperlink r:id="rId36" w:history="1">
        <w:r w:rsidRPr="00690753">
          <w:rPr>
            <w:rFonts w:ascii="Times New Roman" w:eastAsiaTheme="minorHAnsi" w:hAnsi="Times New Roman" w:cs="Times New Roman"/>
            <w:sz w:val="26"/>
            <w:szCs w:val="26"/>
            <w:lang w:eastAsia="en-US"/>
          </w:rPr>
          <w:t>3</w:t>
        </w:r>
      </w:hyperlink>
      <w:r w:rsidRPr="00690753">
        <w:rPr>
          <w:rFonts w:ascii="Times New Roman" w:eastAsiaTheme="minorHAnsi" w:hAnsi="Times New Roman" w:cs="Times New Roman"/>
          <w:sz w:val="26"/>
          <w:szCs w:val="26"/>
          <w:lang w:eastAsia="en-US"/>
        </w:rPr>
        <w:t xml:space="preserve">, </w:t>
      </w:r>
      <w:hyperlink r:id="rId37" w:history="1">
        <w:r w:rsidRPr="00690753">
          <w:rPr>
            <w:rFonts w:ascii="Times New Roman" w:eastAsiaTheme="minorHAnsi" w:hAnsi="Times New Roman" w:cs="Times New Roman"/>
            <w:sz w:val="26"/>
            <w:szCs w:val="26"/>
            <w:lang w:eastAsia="en-US"/>
          </w:rPr>
          <w:t>4 статьи 298</w:t>
        </w:r>
      </w:hyperlink>
      <w:r w:rsidRPr="00690753">
        <w:rPr>
          <w:rFonts w:ascii="Times New Roman" w:eastAsiaTheme="minorHAnsi" w:hAnsi="Times New Roman" w:cs="Times New Roman"/>
          <w:sz w:val="26"/>
          <w:szCs w:val="26"/>
          <w:lang w:eastAsia="en-US"/>
        </w:rPr>
        <w:t xml:space="preserve"> ГК РФ автономное, бюджетное, казенные учреждения без согласия собственника не вправе распоряжаться недвижимым имуществом.</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Таким образом, в случае, если государственное или муниципальное имущество закреплено за предприятиями или учреждениями на праве хозяйственного ведения или оперативного управления, то распоряжение этим имуществом путем его передачи хозяйствующим субъектам не является предоставлением государственной или муниципальной преференции, в связи с тем, что перечисленные предприятия и учреждения не являются субъектами права предоставления государственной или муниципальной преференции.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Предприятие или учреждение являются субъектами права предоставления государственной или муниципальной преференции только в том случае, если такие предприятия или учреждения являются организациями, осуществляющими функции органов власти, указанных в </w:t>
      </w:r>
      <w:hyperlink r:id="rId38" w:history="1">
        <w:r w:rsidRPr="00690753">
          <w:rPr>
            <w:rFonts w:ascii="Times New Roman" w:eastAsiaTheme="minorHAnsi" w:hAnsi="Times New Roman" w:cs="Times New Roman"/>
            <w:sz w:val="26"/>
            <w:szCs w:val="26"/>
            <w:lang w:eastAsia="en-US"/>
          </w:rPr>
          <w:t>пункте 20 статьи 4</w:t>
        </w:r>
      </w:hyperlink>
      <w:r w:rsidRPr="00690753">
        <w:rPr>
          <w:rFonts w:ascii="Times New Roman" w:eastAsiaTheme="minorHAnsi" w:hAnsi="Times New Roman" w:cs="Times New Roman"/>
          <w:sz w:val="26"/>
          <w:szCs w:val="26"/>
          <w:lang w:eastAsia="en-US"/>
        </w:rPr>
        <w:t xml:space="preserve"> Закона о защите конкуренции.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Само по себе согласие собственника государственного или муниципального имущества по распоряжению предприятием или учреждением таким имуществом путем его передачи хозяйствующему субъекту также не является государственной или муниципальной преференцией в связи с тем, что собственник государственного или </w:t>
      </w:r>
      <w:r w:rsidRPr="00690753">
        <w:rPr>
          <w:rFonts w:ascii="Times New Roman" w:eastAsiaTheme="minorHAnsi" w:hAnsi="Times New Roman" w:cs="Times New Roman"/>
          <w:sz w:val="26"/>
          <w:szCs w:val="26"/>
          <w:lang w:eastAsia="en-US"/>
        </w:rPr>
        <w:lastRenderedPageBreak/>
        <w:t>муниципального имущества фактически не осуществляет предоставление государственного или муниципального имущества хозяйствующему субъекту.</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Вместе с тем действия органа власти, выразившиеся в даче согласия организации, за которой такое имущество закреплено, на предоставление указанного имущества иному хозяйствующему субъекту, могут быть рассмотрены антимонопольным органом на предмет наличия признаков нарушения </w:t>
      </w:r>
      <w:hyperlink r:id="rId39" w:history="1">
        <w:r w:rsidRPr="00690753">
          <w:rPr>
            <w:rFonts w:ascii="Times New Roman" w:eastAsiaTheme="minorHAnsi" w:hAnsi="Times New Roman" w:cs="Times New Roman"/>
            <w:sz w:val="26"/>
            <w:szCs w:val="26"/>
            <w:lang w:eastAsia="en-US"/>
          </w:rPr>
          <w:t>статьи 15</w:t>
        </w:r>
      </w:hyperlink>
      <w:r w:rsidRPr="00690753">
        <w:rPr>
          <w:rFonts w:ascii="Times New Roman" w:eastAsiaTheme="minorHAnsi" w:hAnsi="Times New Roman" w:cs="Times New Roman"/>
          <w:sz w:val="26"/>
          <w:szCs w:val="26"/>
          <w:lang w:eastAsia="en-US"/>
        </w:rPr>
        <w:t xml:space="preserve"> Закона о защите конкуренции.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Из определения государственных и муниципальных преференций следует, что преференции могут предоставляться хозяйствующим субъектам.</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Согласно действующей редакции </w:t>
      </w:r>
      <w:hyperlink r:id="rId40" w:history="1">
        <w:r w:rsidRPr="00690753">
          <w:rPr>
            <w:rFonts w:ascii="Times New Roman" w:eastAsiaTheme="minorHAnsi" w:hAnsi="Times New Roman" w:cs="Times New Roman"/>
            <w:sz w:val="26"/>
            <w:szCs w:val="26"/>
            <w:lang w:eastAsia="en-US"/>
          </w:rPr>
          <w:t>пункта 5 статьи 4</w:t>
        </w:r>
      </w:hyperlink>
      <w:r w:rsidRPr="00690753">
        <w:rPr>
          <w:rFonts w:ascii="Times New Roman" w:eastAsiaTheme="minorHAnsi" w:hAnsi="Times New Roman" w:cs="Times New Roman"/>
          <w:sz w:val="26"/>
          <w:szCs w:val="26"/>
          <w:lang w:eastAsia="en-US"/>
        </w:rPr>
        <w:t xml:space="preserve">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Из </w:t>
      </w:r>
      <w:hyperlink r:id="rId41" w:history="1">
        <w:r w:rsidRPr="00690753">
          <w:rPr>
            <w:rFonts w:ascii="Times New Roman" w:eastAsiaTheme="minorHAnsi" w:hAnsi="Times New Roman" w:cs="Times New Roman"/>
            <w:sz w:val="26"/>
            <w:szCs w:val="26"/>
            <w:lang w:eastAsia="en-US"/>
          </w:rPr>
          <w:t>пункта 6</w:t>
        </w:r>
      </w:hyperlink>
      <w:r w:rsidRPr="00690753">
        <w:rPr>
          <w:rFonts w:ascii="Times New Roman" w:eastAsiaTheme="minorHAnsi" w:hAnsi="Times New Roman" w:cs="Times New Roman"/>
          <w:sz w:val="26"/>
          <w:szCs w:val="26"/>
          <w:lang w:eastAsia="en-US"/>
        </w:rPr>
        <w:t xml:space="preserve"> Постановления Пленума Верховного Суда Российской Федерации от 04.03.2021 № 2 следует, что некоммерческая организация может быть признана хозяйствующим субъектом для целей применения антимонопольного законодательства, в том числе если она объединяет коммерческие организации и индивидуальных предпринимателей, действующих на определенных товарных рынках, и представляет их экономические интересы, связанные с конкуренцией на товарных рынках. В то же время не могут быть признаны хозяйствующими субъектами в значении, придаваемом </w:t>
      </w:r>
      <w:hyperlink r:id="rId42" w:history="1">
        <w:r w:rsidRPr="00690753">
          <w:rPr>
            <w:rFonts w:ascii="Times New Roman" w:eastAsiaTheme="minorHAnsi" w:hAnsi="Times New Roman" w:cs="Times New Roman"/>
            <w:sz w:val="26"/>
            <w:szCs w:val="26"/>
            <w:lang w:eastAsia="en-US"/>
          </w:rPr>
          <w:t>Законом</w:t>
        </w:r>
      </w:hyperlink>
      <w:r w:rsidRPr="00690753">
        <w:rPr>
          <w:rFonts w:ascii="Times New Roman" w:eastAsiaTheme="minorHAnsi" w:hAnsi="Times New Roman" w:cs="Times New Roman"/>
          <w:sz w:val="26"/>
          <w:szCs w:val="26"/>
          <w:lang w:eastAsia="en-US"/>
        </w:rPr>
        <w:t xml:space="preserve"> о защите конкуренции, как правило, коммерческие организации и другие лица в части осуществления иной деятельности, не связанной с конкуренцией на товарном рынке, например, при участии в благотворительности или предоставлении социальной помощи гражданам, добровольном участии в иной общеполезной деятельности, не связанной с извлечением выгоды из обращения товаров на рынке.</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В случае, если отдельные преимущества предоставляются лицу, которое не является хозяйствующим субъектом в соответствии с </w:t>
      </w:r>
      <w:hyperlink r:id="rId43" w:history="1">
        <w:r w:rsidRPr="00690753">
          <w:rPr>
            <w:rFonts w:ascii="Times New Roman" w:eastAsiaTheme="minorHAnsi" w:hAnsi="Times New Roman" w:cs="Times New Roman"/>
            <w:sz w:val="26"/>
            <w:szCs w:val="26"/>
            <w:lang w:eastAsia="en-US"/>
          </w:rPr>
          <w:t>пунктом 5 статьи 4</w:t>
        </w:r>
      </w:hyperlink>
      <w:r w:rsidRPr="00690753">
        <w:rPr>
          <w:rFonts w:ascii="Times New Roman" w:eastAsiaTheme="minorHAnsi" w:hAnsi="Times New Roman" w:cs="Times New Roman"/>
          <w:sz w:val="26"/>
          <w:szCs w:val="26"/>
          <w:lang w:eastAsia="en-US"/>
        </w:rPr>
        <w:t xml:space="preserve"> Закона о защите конкуренции, то на такие отношения не распространяются нормы </w:t>
      </w:r>
      <w:hyperlink r:id="rId44" w:history="1">
        <w:r w:rsidRPr="00690753">
          <w:rPr>
            <w:rFonts w:ascii="Times New Roman" w:eastAsiaTheme="minorHAnsi" w:hAnsi="Times New Roman" w:cs="Times New Roman"/>
            <w:sz w:val="26"/>
            <w:szCs w:val="26"/>
            <w:lang w:eastAsia="en-US"/>
          </w:rPr>
          <w:t>главы 5</w:t>
        </w:r>
      </w:hyperlink>
      <w:r w:rsidRPr="00690753">
        <w:rPr>
          <w:rFonts w:ascii="Times New Roman" w:eastAsiaTheme="minorHAnsi" w:hAnsi="Times New Roman" w:cs="Times New Roman"/>
          <w:sz w:val="26"/>
          <w:szCs w:val="26"/>
          <w:lang w:eastAsia="en-US"/>
        </w:rPr>
        <w:t xml:space="preserve"> Закона о защите конкуренции.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В связи с изложенным при рассмотрении антимонопольным органом заявлений о даче согласия на предоставление государственной или муниципальной преференции может возникать вопрос о признании хозяйствующим субъектом некоммерческой организации, которая на момент рассмотрения антимонопольным органом не осуществляет деятельности, приносящей доход.</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С учетом сложившейся судебной практики некоммерческая организация, не только осуществляющая деятельность, приносящую такой некоммерческой организации доход, но и имеющая право на осуществление такой деятельности в силу своих уставных документов, признается хозяйствующим субъектом.</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Так, например, согласно </w:t>
      </w:r>
      <w:hyperlink r:id="rId45" w:history="1">
        <w:r w:rsidRPr="00690753">
          <w:rPr>
            <w:rFonts w:ascii="Times New Roman" w:eastAsiaTheme="minorHAnsi" w:hAnsi="Times New Roman" w:cs="Times New Roman"/>
            <w:sz w:val="26"/>
            <w:szCs w:val="26"/>
            <w:lang w:eastAsia="en-US"/>
          </w:rPr>
          <w:t>пункту 4 статьи 50</w:t>
        </w:r>
      </w:hyperlink>
      <w:r w:rsidRPr="00690753">
        <w:rPr>
          <w:rFonts w:ascii="Times New Roman" w:eastAsiaTheme="minorHAnsi" w:hAnsi="Times New Roman" w:cs="Times New Roman"/>
          <w:sz w:val="26"/>
          <w:szCs w:val="26"/>
          <w:lang w:eastAsia="en-US"/>
        </w:rPr>
        <w:t xml:space="preserve"> ГК РФ, а также </w:t>
      </w:r>
      <w:hyperlink r:id="rId46" w:history="1">
        <w:r w:rsidRPr="00690753">
          <w:rPr>
            <w:rFonts w:ascii="Times New Roman" w:eastAsiaTheme="minorHAnsi" w:hAnsi="Times New Roman" w:cs="Times New Roman"/>
            <w:sz w:val="26"/>
            <w:szCs w:val="26"/>
            <w:lang w:eastAsia="en-US"/>
          </w:rPr>
          <w:t>статье 37</w:t>
        </w:r>
      </w:hyperlink>
      <w:r w:rsidRPr="00690753">
        <w:rPr>
          <w:rFonts w:ascii="Times New Roman" w:eastAsiaTheme="minorHAnsi" w:hAnsi="Times New Roman" w:cs="Times New Roman"/>
          <w:sz w:val="26"/>
          <w:szCs w:val="26"/>
          <w:lang w:eastAsia="en-US"/>
        </w:rPr>
        <w:t xml:space="preserve"> Федерального закона от 19.05.1995 № 82-ФЗ «Об общественных объединениях» общественная организация, являясь некоммерческой организацией, в случае, если это предусмотрено уставом, вправе осуществлять приносящую доход деятельность в той мере, в какой это служит достижению целей, ради которых она создана, и соответствует заявленным целям. В этом случае общественная некоммерческая организация является хозяйствующим субъектом, исходя из определения, данного в </w:t>
      </w:r>
      <w:hyperlink r:id="rId47" w:history="1">
        <w:r w:rsidRPr="00690753">
          <w:rPr>
            <w:rFonts w:ascii="Times New Roman" w:eastAsiaTheme="minorHAnsi" w:hAnsi="Times New Roman" w:cs="Times New Roman"/>
            <w:sz w:val="26"/>
            <w:szCs w:val="26"/>
            <w:lang w:eastAsia="en-US"/>
          </w:rPr>
          <w:t>пункте 5 статьи 4</w:t>
        </w:r>
      </w:hyperlink>
      <w:r w:rsidRPr="00690753">
        <w:rPr>
          <w:rFonts w:ascii="Times New Roman" w:eastAsiaTheme="minorHAnsi" w:hAnsi="Times New Roman" w:cs="Times New Roman"/>
          <w:sz w:val="26"/>
          <w:szCs w:val="26"/>
          <w:lang w:eastAsia="en-US"/>
        </w:rPr>
        <w:t xml:space="preserve"> Закона о защите конкуренции.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lastRenderedPageBreak/>
        <w:t xml:space="preserve">Согласно </w:t>
      </w:r>
      <w:hyperlink r:id="rId48" w:history="1">
        <w:r w:rsidRPr="00690753">
          <w:rPr>
            <w:rFonts w:ascii="Times New Roman" w:eastAsiaTheme="minorHAnsi" w:hAnsi="Times New Roman" w:cs="Times New Roman"/>
            <w:sz w:val="26"/>
            <w:szCs w:val="26"/>
            <w:lang w:eastAsia="en-US"/>
          </w:rPr>
          <w:t>пункту 20 статьи 4</w:t>
        </w:r>
      </w:hyperlink>
      <w:r w:rsidRPr="00690753">
        <w:rPr>
          <w:rFonts w:ascii="Times New Roman" w:eastAsiaTheme="minorHAnsi" w:hAnsi="Times New Roman" w:cs="Times New Roman"/>
          <w:sz w:val="26"/>
          <w:szCs w:val="26"/>
          <w:lang w:eastAsia="en-US"/>
        </w:rPr>
        <w:t xml:space="preserve"> Закона о защите конкуренции государственные и муниципальные преференции могут предоставляться в следующих формах:</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путем передачи государственного или муниципального имущества, иных объектов гражданских прав;</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путем предоставления имущественных льгот;</w:t>
      </w:r>
    </w:p>
    <w:p w:rsidR="00690753" w:rsidRPr="00690753" w:rsidRDefault="00690753" w:rsidP="00462F6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путем предоставления государственных или муниципальных гарантий.</w:t>
      </w:r>
      <w:bookmarkStart w:id="1" w:name="_GoBack"/>
      <w:bookmarkEnd w:id="1"/>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В 2022 году от Администрации Преображенского муниципального образования Пугачевского муниципального района Саратовской области поступило заявления о даче согласия на предоставление муниципальной преференции.</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Преференция предоставляется в виде передачи в безвозмездное временное пользование без проведения конкурсов и аукционов для использования по назначению в целях оказания поддержки субъекту малого предпринимательства, а </w:t>
      </w:r>
      <w:proofErr w:type="gramStart"/>
      <w:r w:rsidRPr="00690753">
        <w:rPr>
          <w:rFonts w:ascii="Times New Roman" w:eastAsiaTheme="minorHAnsi" w:hAnsi="Times New Roman" w:cs="Times New Roman"/>
          <w:sz w:val="26"/>
          <w:szCs w:val="26"/>
          <w:lang w:eastAsia="en-US"/>
        </w:rPr>
        <w:t>так же</w:t>
      </w:r>
      <w:proofErr w:type="gramEnd"/>
      <w:r w:rsidRPr="00690753">
        <w:rPr>
          <w:rFonts w:ascii="Times New Roman" w:eastAsiaTheme="minorHAnsi" w:hAnsi="Times New Roman" w:cs="Times New Roman"/>
          <w:sz w:val="26"/>
          <w:szCs w:val="26"/>
          <w:lang w:eastAsia="en-US"/>
        </w:rPr>
        <w:t xml:space="preserve"> с целью бесперебойного </w:t>
      </w:r>
      <w:proofErr w:type="spellStart"/>
      <w:r w:rsidRPr="00690753">
        <w:rPr>
          <w:rFonts w:ascii="Times New Roman" w:eastAsiaTheme="minorHAnsi" w:hAnsi="Times New Roman" w:cs="Times New Roman"/>
          <w:sz w:val="26"/>
          <w:szCs w:val="26"/>
          <w:lang w:eastAsia="en-US"/>
        </w:rPr>
        <w:t>водообеспечения</w:t>
      </w:r>
      <w:proofErr w:type="spellEnd"/>
      <w:r w:rsidRPr="00690753">
        <w:rPr>
          <w:rFonts w:ascii="Times New Roman" w:eastAsiaTheme="minorHAnsi" w:hAnsi="Times New Roman" w:cs="Times New Roman"/>
          <w:sz w:val="26"/>
          <w:szCs w:val="26"/>
          <w:lang w:eastAsia="en-US"/>
        </w:rPr>
        <w:t xml:space="preserve"> для питьевых и хозяйственных нужд населения села Большая Таволожка Пугачевского муниципального района Саратовской области, муниципальное имущество:</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водопроводные системы села Большая Таволожка (артезианские скважины № 141/90,117/88,1/89,2/89, водонапорная башня - 1 шт., водопроводная сеть с колодцами протяженностью 12 648 м.).</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Получателем преференции является Потребительский кооператив «Таволга».</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Саратовским УФАС России принято решение об отказе в предоставлении преференции по следующим основаниям.</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Согласно </w:t>
      </w:r>
      <w:proofErr w:type="gramStart"/>
      <w:r w:rsidRPr="00690753">
        <w:rPr>
          <w:rFonts w:ascii="Times New Roman" w:eastAsiaTheme="minorHAnsi" w:hAnsi="Times New Roman" w:cs="Times New Roman"/>
          <w:sz w:val="26"/>
          <w:szCs w:val="26"/>
          <w:lang w:eastAsia="en-US"/>
        </w:rPr>
        <w:t>заявлению</w:t>
      </w:r>
      <w:proofErr w:type="gramEnd"/>
      <w:r w:rsidRPr="00690753">
        <w:rPr>
          <w:rFonts w:ascii="Times New Roman" w:eastAsiaTheme="minorHAnsi" w:hAnsi="Times New Roman" w:cs="Times New Roman"/>
          <w:sz w:val="26"/>
          <w:szCs w:val="26"/>
          <w:lang w:eastAsia="en-US"/>
        </w:rPr>
        <w:t xml:space="preserve"> Администрация просит дать согласие на предоставление Потребительскому кооперативу «Таволга» (ИНН 6445001850) муниципальной преференции в целях оказания поддержки субъекту малого предпринимательства.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Согласно части 1 статьи 19 Закона о защите конкуренции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в том числе в целях поддержки субъектов малого и среднего предпринимательства.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По данным Единого реестра субъектов малого и среднего предпринимательства в сети интернет на официальном сайте ФНС России https://ofd.nalog.ru ПК «Таволга» (ИНН 6445001850) является </w:t>
      </w:r>
      <w:proofErr w:type="spellStart"/>
      <w:r w:rsidRPr="00690753">
        <w:rPr>
          <w:rFonts w:ascii="Times New Roman" w:eastAsiaTheme="minorHAnsi" w:hAnsi="Times New Roman" w:cs="Times New Roman"/>
          <w:sz w:val="26"/>
          <w:szCs w:val="26"/>
          <w:lang w:eastAsia="en-US"/>
        </w:rPr>
        <w:t>микропредприятием</w:t>
      </w:r>
      <w:proofErr w:type="spellEnd"/>
      <w:r w:rsidRPr="00690753">
        <w:rPr>
          <w:rFonts w:ascii="Times New Roman" w:eastAsiaTheme="minorHAnsi" w:hAnsi="Times New Roman" w:cs="Times New Roman"/>
          <w:sz w:val="26"/>
          <w:szCs w:val="26"/>
          <w:lang w:eastAsia="en-US"/>
        </w:rPr>
        <w:t xml:space="preserve">, включено в реестр 10.09.2016.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В соответствии с пунктом 4 части 3 статьи 19 Закона о защите конкуренции преференция в целях, предусмотренных частью 1 указанной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Из совокупности положений части 1 статьи 19 и пункта 4 части 3 статьи 19 Закона о защите конкуренции следует, что исключением из случаев предварительного согласования с антимонопольными органами предоставления преференции является предоставление преференции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В соответствии с </w:t>
      </w:r>
      <w:proofErr w:type="spellStart"/>
      <w:r w:rsidRPr="00690753">
        <w:rPr>
          <w:rFonts w:ascii="Times New Roman" w:eastAsiaTheme="minorHAnsi" w:hAnsi="Times New Roman" w:cs="Times New Roman"/>
          <w:sz w:val="26"/>
          <w:szCs w:val="26"/>
          <w:lang w:eastAsia="en-US"/>
        </w:rPr>
        <w:t>пунктм</w:t>
      </w:r>
      <w:proofErr w:type="spellEnd"/>
      <w:r w:rsidRPr="00690753">
        <w:rPr>
          <w:rFonts w:ascii="Times New Roman" w:eastAsiaTheme="minorHAnsi" w:hAnsi="Times New Roman" w:cs="Times New Roman"/>
          <w:sz w:val="26"/>
          <w:szCs w:val="26"/>
          <w:lang w:eastAsia="en-US"/>
        </w:rPr>
        <w:t xml:space="preserve"> 5 статьи 3 Федерального закона от 24.07.2007 № 209-ФЗ «О развитии малого и среднего предпринимательства в Российской Федерации» (далее - Закон о развитии предпринимательства) поддержка субъектов малого и </w:t>
      </w:r>
      <w:r w:rsidRPr="00690753">
        <w:rPr>
          <w:rFonts w:ascii="Times New Roman" w:eastAsiaTheme="minorHAnsi" w:hAnsi="Times New Roman" w:cs="Times New Roman"/>
          <w:sz w:val="26"/>
          <w:szCs w:val="26"/>
          <w:lang w:eastAsia="en-US"/>
        </w:rPr>
        <w:lastRenderedPageBreak/>
        <w:t xml:space="preserve">среднего предпринимательства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также -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указанным Федеральным законом, в качестве института развития в сфере малого и среднего предпринимательства, его дочерних обществ.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Согласно положениям статьи 11 Закона о развитии предпринимательства к полномочиям органов местного самоуправления по вопросам развития МСП относится создание условий для развития МСП, в том числе: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 анализ финансовых, экономических, социальных и иных показателей развития МСП и эффективности применения мер по его развитию, прогноз развития МСП на территориях муниципальных образований.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Таким образом, разработка и реализация муниципальных программ (подпрограмм) является полномочием органов местного самоуправления по вопросам развития МСП.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Меры, виды и формы поддержки субъектов МСП, а также условия оказания такой поддержки должны содержаться в таких программах (подпрограммах), разработка которых является полномочием органов местного самоуправления. Таким образом, в случае намерения органа местного самоуправления предоставить преференцию, регламентированную Законом о защите конкуренции, в целях поддержки субъектов МСП, предоставление такой преференции должно быть предусмотрено в программе (подпрограмме).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Статьей 16 Закона о развитии предпринимательства установлено, что условия и порядок оказания поддержки субъектам МСП и организациям, образующим инфраструктуру поддержки субъектов МСП,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В программах (подпрограммах) содержатся мероприятия, направленные на развитие МСП, в соответствии и </w:t>
      </w:r>
      <w:proofErr w:type="gramStart"/>
      <w:r w:rsidRPr="00690753">
        <w:rPr>
          <w:rFonts w:ascii="Times New Roman" w:eastAsiaTheme="minorHAnsi" w:hAnsi="Times New Roman" w:cs="Times New Roman"/>
          <w:sz w:val="26"/>
          <w:szCs w:val="26"/>
          <w:lang w:eastAsia="en-US"/>
        </w:rPr>
        <w:t>в целях</w:t>
      </w:r>
      <w:proofErr w:type="gramEnd"/>
      <w:r w:rsidRPr="00690753">
        <w:rPr>
          <w:rFonts w:ascii="Times New Roman" w:eastAsiaTheme="minorHAnsi" w:hAnsi="Times New Roman" w:cs="Times New Roman"/>
          <w:sz w:val="26"/>
          <w:szCs w:val="26"/>
          <w:lang w:eastAsia="en-US"/>
        </w:rPr>
        <w:t xml:space="preserve"> реализации которых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принимаются нормативные правовые акты, в которых устанавливаются условия и порядок оказания поддержки субъектам МСП и организациям, образующим инфраструктуру поддержки субъектов МСП.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Таким образом, наличие в программах (подпрограммах) мероприятий, направленных на развитие малого и среднего предпринимательства и принятие в целях реализации данных мероприятий нормативных правовых актов, устанавливающих условия и порядок оказания поддержки субъектам МСП и организациям, образующим инфраструктуру поддержки субъектов МСП, является необходимым условием для </w:t>
      </w:r>
      <w:r w:rsidRPr="00690753">
        <w:rPr>
          <w:rFonts w:ascii="Times New Roman" w:eastAsiaTheme="minorHAnsi" w:hAnsi="Times New Roman" w:cs="Times New Roman"/>
          <w:sz w:val="26"/>
          <w:szCs w:val="26"/>
          <w:lang w:eastAsia="en-US"/>
        </w:rPr>
        <w:lastRenderedPageBreak/>
        <w:t xml:space="preserve">предоставления преференций в соответствии с Законом о защите конкуренции в целях поддержки субъектов МСП.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Предоставление таких преференций в строгом соответствии с указанными требованиями Закона о развитии предпринимательства осуществляется без согласования с антимонопольным органом, то есть заявления о даче согласия на предоставление преференций в антимонопольный орган не направляются.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 xml:space="preserve">В остальных случаях преференции могут предоставляться хозяйствующим субъектам, в том числе являющимся субъектами МСП, в иных целях, установленных части 1 статьи 19 Закона о защите конкуренции, с соблюдением порядка, установленного статьей 20 Закона о защите конкуренции, то есть путем подачи заявления о даче согласия на предоставление преференции (за исключением случаев, предусмотренных пунктами 1 - 3 части 3 статьи 19 указанного Федерального закона). </w:t>
      </w:r>
    </w:p>
    <w:p w:rsidR="00690753" w:rsidRPr="00690753" w:rsidRDefault="00690753" w:rsidP="00972CD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690753">
        <w:rPr>
          <w:rFonts w:ascii="Times New Roman" w:eastAsiaTheme="minorHAnsi" w:hAnsi="Times New Roman" w:cs="Times New Roman"/>
          <w:sz w:val="26"/>
          <w:szCs w:val="26"/>
          <w:lang w:eastAsia="en-US"/>
        </w:rPr>
        <w:t>Данная позиция согласуется с письмом ФАС России от 11.04.2017 № АД/24002/17.</w:t>
      </w:r>
    </w:p>
    <w:p w:rsidR="00690753" w:rsidRPr="00690753" w:rsidRDefault="00690753" w:rsidP="00972CDF">
      <w:pPr>
        <w:spacing w:after="0" w:line="240" w:lineRule="auto"/>
        <w:ind w:firstLine="709"/>
        <w:contextualSpacing/>
        <w:jc w:val="both"/>
        <w:rPr>
          <w:rFonts w:ascii="Times New Roman" w:eastAsia="Times New Roman" w:hAnsi="Times New Roman" w:cs="Times New Roman"/>
          <w:color w:val="000000"/>
          <w:sz w:val="26"/>
          <w:szCs w:val="26"/>
          <w:lang w:eastAsia="en-US"/>
        </w:rPr>
      </w:pPr>
      <w:r w:rsidRPr="00690753">
        <w:rPr>
          <w:rFonts w:ascii="Times New Roman" w:eastAsia="Times New Roman" w:hAnsi="Times New Roman" w:cs="Times New Roman"/>
          <w:color w:val="000000"/>
          <w:sz w:val="26"/>
          <w:szCs w:val="26"/>
          <w:lang w:eastAsia="en-US"/>
        </w:rPr>
        <w:t> </w:t>
      </w:r>
    </w:p>
    <w:p w:rsidR="00690753" w:rsidRPr="00462F69" w:rsidRDefault="00462F69" w:rsidP="00462F69">
      <w:pPr>
        <w:spacing w:after="0" w:line="240" w:lineRule="auto"/>
        <w:ind w:left="36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3. </w:t>
      </w:r>
      <w:r w:rsidR="00690753" w:rsidRPr="00462F69">
        <w:rPr>
          <w:rFonts w:ascii="Times New Roman" w:hAnsi="Times New Roman" w:cs="Times New Roman"/>
          <w:b/>
          <w:bCs/>
          <w:color w:val="000000"/>
          <w:sz w:val="26"/>
          <w:szCs w:val="26"/>
        </w:rPr>
        <w:t>Контроль в сфере государственных и муниципальных закупок</w:t>
      </w:r>
    </w:p>
    <w:p w:rsidR="002446DF" w:rsidRPr="002446DF" w:rsidRDefault="002446DF" w:rsidP="002446DF">
      <w:pPr>
        <w:pStyle w:val="a8"/>
        <w:spacing w:after="0" w:line="240" w:lineRule="auto"/>
        <w:jc w:val="both"/>
        <w:rPr>
          <w:rFonts w:ascii="Times New Roman" w:hAnsi="Times New Roman" w:cs="Times New Roman"/>
          <w:sz w:val="26"/>
          <w:szCs w:val="26"/>
        </w:rPr>
      </w:pP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Саратовским УФАС России осуществляется контроль в сфере государственных и муниципальных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также Закон о контрактной системе).</w:t>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К типичным нарушениям Закона о контрактной системе можно отнести:</w:t>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 описание предмета закупки, противоречащее требованиям Закона о контрактной системе;</w:t>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 установление в извещении дополнительных требований к участникам закупки с нарушением требований постановления Правительства № 2571;</w:t>
      </w:r>
    </w:p>
    <w:p w:rsidR="00690753" w:rsidRPr="00690753" w:rsidRDefault="00690753" w:rsidP="002446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  необоснованный допуск и необоснованное отклонение комиссией заявок на участие в закупке.</w:t>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 xml:space="preserve">Так, например, в феврале 2022 года Саратовское УФАС России признала обоснованной жалобу ООО «СОЮЗДОНСТРОЙ» на действия Заказчика Управления капитального строительства администрации </w:t>
      </w:r>
      <w:proofErr w:type="spellStart"/>
      <w:r w:rsidRPr="00690753">
        <w:rPr>
          <w:rFonts w:ascii="Times New Roman" w:eastAsia="Times New Roman" w:hAnsi="Times New Roman" w:cs="Times New Roman"/>
          <w:bCs/>
          <w:sz w:val="26"/>
          <w:szCs w:val="26"/>
          <w:lang w:eastAsia="en-US"/>
        </w:rPr>
        <w:t>Энгельсского</w:t>
      </w:r>
      <w:proofErr w:type="spellEnd"/>
      <w:r w:rsidRPr="00690753">
        <w:rPr>
          <w:rFonts w:ascii="Times New Roman" w:eastAsia="Times New Roman" w:hAnsi="Times New Roman" w:cs="Times New Roman"/>
          <w:bCs/>
          <w:sz w:val="26"/>
          <w:szCs w:val="26"/>
          <w:lang w:eastAsia="en-US"/>
        </w:rPr>
        <w:t xml:space="preserve"> муниципального района при проведении аукциона «Реконструкция главного самотечного коллектора Д=1200 мм с увеличением диаметра до 1500 мм в границах </w:t>
      </w:r>
      <w:proofErr w:type="spellStart"/>
      <w:r w:rsidRPr="00690753">
        <w:rPr>
          <w:rFonts w:ascii="Times New Roman" w:eastAsia="Times New Roman" w:hAnsi="Times New Roman" w:cs="Times New Roman"/>
          <w:bCs/>
          <w:sz w:val="26"/>
          <w:szCs w:val="26"/>
          <w:lang w:eastAsia="en-US"/>
        </w:rPr>
        <w:t>пр.Строителей</w:t>
      </w:r>
      <w:proofErr w:type="spellEnd"/>
      <w:r w:rsidRPr="00690753">
        <w:rPr>
          <w:rFonts w:ascii="Times New Roman" w:eastAsia="Times New Roman" w:hAnsi="Times New Roman" w:cs="Times New Roman"/>
          <w:bCs/>
          <w:sz w:val="26"/>
          <w:szCs w:val="26"/>
          <w:lang w:eastAsia="en-US"/>
        </w:rPr>
        <w:t xml:space="preserve"> - </w:t>
      </w:r>
      <w:proofErr w:type="spellStart"/>
      <w:r w:rsidRPr="00690753">
        <w:rPr>
          <w:rFonts w:ascii="Times New Roman" w:eastAsia="Times New Roman" w:hAnsi="Times New Roman" w:cs="Times New Roman"/>
          <w:bCs/>
          <w:sz w:val="26"/>
          <w:szCs w:val="26"/>
          <w:lang w:eastAsia="en-US"/>
        </w:rPr>
        <w:t>пр.Химиков</w:t>
      </w:r>
      <w:proofErr w:type="spellEnd"/>
      <w:r w:rsidRPr="00690753">
        <w:rPr>
          <w:rFonts w:ascii="Times New Roman" w:eastAsia="Times New Roman" w:hAnsi="Times New Roman" w:cs="Times New Roman"/>
          <w:bCs/>
          <w:sz w:val="26"/>
          <w:szCs w:val="26"/>
          <w:lang w:eastAsia="en-US"/>
        </w:rPr>
        <w:t xml:space="preserve"> до </w:t>
      </w:r>
      <w:proofErr w:type="spellStart"/>
      <w:r w:rsidRPr="00690753">
        <w:rPr>
          <w:rFonts w:ascii="Times New Roman" w:eastAsia="Times New Roman" w:hAnsi="Times New Roman" w:cs="Times New Roman"/>
          <w:bCs/>
          <w:sz w:val="26"/>
          <w:szCs w:val="26"/>
          <w:lang w:eastAsia="en-US"/>
        </w:rPr>
        <w:t>ул.Менделеева</w:t>
      </w:r>
      <w:proofErr w:type="spellEnd"/>
      <w:r w:rsidRPr="00690753">
        <w:rPr>
          <w:rFonts w:ascii="Times New Roman" w:eastAsia="Times New Roman" w:hAnsi="Times New Roman" w:cs="Times New Roman"/>
          <w:bCs/>
          <w:sz w:val="26"/>
          <w:szCs w:val="26"/>
          <w:lang w:eastAsia="en-US"/>
        </w:rPr>
        <w:t xml:space="preserve"> в городе Энгельсе Саратовской области». </w:t>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Закупка в рамках реализации национального проекта «Жилье и городская среда». НМЦК 232,6 млн руб.</w:t>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При рассмотрении жалобы были выявлены следующие нарушения:</w:t>
      </w:r>
      <w:r w:rsidRPr="00690753">
        <w:rPr>
          <w:rFonts w:ascii="Times New Roman" w:eastAsia="Times New Roman" w:hAnsi="Times New Roman" w:cs="Times New Roman"/>
          <w:bCs/>
          <w:sz w:val="26"/>
          <w:szCs w:val="26"/>
          <w:lang w:eastAsia="en-US"/>
        </w:rPr>
        <w:tab/>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 противоречивые требования о казначейском сопровождении исполнения контракта;</w:t>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 Заказчика в «Графике выполнения работ» установил единицы измерения «Комплекс», то есть Заказчик не использовал стандартные единицы измерения, что не соответствует ч. 1 ст. 34 Закона о контрактной системе;</w:t>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 Заказчик неправомерно установил условия о продлении сроков исполнения обязательств по контракту;</w:t>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 Заказчик не конкретизировал какие выплаты удерживаются у подрядчика при оплате выполненных работ.</w:t>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 xml:space="preserve">В пункте 13.23 проекта Контракта предусмотрено, что при досрочном прекращении Контракта Заказчик выплачивает стоимость фактически выполненных Подрядчиком в полном объеме предусмотренных Графиком оплаты выполненных видов работ, принятых и оплаченных Заказчиком в соответствии с Графиком оплаты выполненных работ, и за вычетом всех предусмотренных Контрактом и (или) законодательством РФ неустоек (штрафов, пени), удержаний и иных выплат, не </w:t>
      </w:r>
      <w:r w:rsidRPr="00690753">
        <w:rPr>
          <w:rFonts w:ascii="Times New Roman" w:eastAsia="Times New Roman" w:hAnsi="Times New Roman" w:cs="Times New Roman"/>
          <w:bCs/>
          <w:sz w:val="26"/>
          <w:szCs w:val="26"/>
          <w:lang w:eastAsia="en-US"/>
        </w:rPr>
        <w:lastRenderedPageBreak/>
        <w:t>позднее 15 (пятнадцати) рабочих дней с даты подписания Заказчиком документов о приемке фактически выполненных работ.</w:t>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 xml:space="preserve">До выдачи предписания на участие в аукционе было подано 4 заявки, одна отклонена, экономия составила 32,6 млн руб., после выдачи предписания были поданы 4 заявки, все были допущены, экономия составила 42,6 млн. руб. </w:t>
      </w:r>
    </w:p>
    <w:p w:rsidR="00690753" w:rsidRPr="00690753" w:rsidRDefault="00690753" w:rsidP="002446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Контракт заключен с победителем закупки ООО "СОЮЗДОНСТРОЙ", находится на стадии исполнения.</w:t>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 xml:space="preserve">Саратовское УФАС России в феврале 2022 года рассмотрело и признало жалобу                          ООО «Контракт» обоснованной.  В действиях Заказчика МБУК «Районный дворец культуры Красноармейского муниципального района Саратовской области» при проведении аукциона в электронной форме № 0160300005122000004 «Капитальный ремонт ПДК филиала МБУК «РДК» посёлок Каменский Красноармейского муниципального района Саратовской области» установлены следующие нарушения: </w:t>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 Заказчик установил в Извещении требование о представлении участником закупки в составе заявки на участие в закупке документов, подтверждающих соответствие участника закупки дополнительным требованиям, установленным в соответствии с ч. 2 ст. 31 Закона о контрактной системе, тогда как указанные документы не включаются в состав заявки, а представляются оператором электронной площадки;</w:t>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 xml:space="preserve">- Заказчик установил противоречивый срок возврата денежных средств, внесенных в качестве обеспечения исполнения контракта в Извещении о проведении Аукциона и в проекте контракта. </w:t>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 xml:space="preserve">Заказчику выдано предписание о направлении проекта контракта победителю закупки соответствующего требованиям Закона о контрактной системе. Предписание было исполнено. </w:t>
      </w:r>
    </w:p>
    <w:p w:rsidR="00690753" w:rsidRPr="00690753" w:rsidRDefault="00690753" w:rsidP="00972CDF">
      <w:pPr>
        <w:widowControl w:val="0"/>
        <w:shd w:val="clear" w:color="auto" w:fill="FFFFFF"/>
        <w:spacing w:after="0" w:line="240" w:lineRule="auto"/>
        <w:ind w:firstLine="709"/>
        <w:jc w:val="both"/>
        <w:rPr>
          <w:rFonts w:ascii="Times New Roman" w:eastAsia="Times New Roman" w:hAnsi="Times New Roman" w:cs="Times New Roman"/>
          <w:bCs/>
          <w:sz w:val="26"/>
          <w:szCs w:val="26"/>
          <w:lang w:eastAsia="en-US"/>
        </w:rPr>
      </w:pPr>
      <w:r w:rsidRPr="00690753">
        <w:rPr>
          <w:rFonts w:ascii="Times New Roman" w:eastAsia="Times New Roman" w:hAnsi="Times New Roman" w:cs="Times New Roman"/>
          <w:bCs/>
          <w:sz w:val="26"/>
          <w:szCs w:val="26"/>
          <w:lang w:eastAsia="en-US"/>
        </w:rPr>
        <w:t xml:space="preserve">Согласно Протоколу подведения итогов определения поставщика (подрядчика, исполнителя) от 11.02.2022 №ИЭА1 на участие в Аукционе была подана единственная заявка, признанная соответствующей требованиям Извещения. </w:t>
      </w:r>
    </w:p>
    <w:p w:rsidR="00690753" w:rsidRPr="00972CDF" w:rsidRDefault="00690753" w:rsidP="00972CDF">
      <w:pPr>
        <w:widowControl w:val="0"/>
        <w:shd w:val="clear" w:color="auto" w:fill="FFFFFF"/>
        <w:spacing w:after="0" w:line="240" w:lineRule="auto"/>
        <w:ind w:firstLine="709"/>
        <w:jc w:val="both"/>
        <w:rPr>
          <w:rStyle w:val="20"/>
          <w:rFonts w:eastAsiaTheme="minorEastAsia"/>
          <w:bCs w:val="0"/>
          <w:sz w:val="26"/>
          <w:szCs w:val="26"/>
        </w:rPr>
      </w:pPr>
      <w:r w:rsidRPr="00690753">
        <w:rPr>
          <w:rFonts w:ascii="Times New Roman" w:eastAsia="Times New Roman" w:hAnsi="Times New Roman" w:cs="Times New Roman"/>
          <w:bCs/>
          <w:sz w:val="26"/>
          <w:szCs w:val="26"/>
          <w:lang w:eastAsia="en-US"/>
        </w:rPr>
        <w:t>Контракт заключен с ООО «Магнат» на сумму 5 488 979 рублей, исполнен в полном объеме.</w:t>
      </w:r>
      <w:r w:rsidR="00972CDF" w:rsidRPr="00972CDF">
        <w:rPr>
          <w:rStyle w:val="20"/>
          <w:rFonts w:eastAsiaTheme="minorEastAsia"/>
          <w:bCs w:val="0"/>
          <w:sz w:val="26"/>
          <w:szCs w:val="26"/>
        </w:rPr>
        <w:t xml:space="preserve"> </w:t>
      </w:r>
    </w:p>
    <w:p w:rsidR="00690753" w:rsidRPr="00972CDF" w:rsidRDefault="00690753" w:rsidP="00972CDF">
      <w:pPr>
        <w:keepNext/>
        <w:keepLines/>
        <w:spacing w:after="0" w:line="240" w:lineRule="auto"/>
        <w:ind w:firstLine="709"/>
        <w:jc w:val="both"/>
        <w:rPr>
          <w:rStyle w:val="20"/>
          <w:rFonts w:eastAsiaTheme="minorEastAsia"/>
          <w:bCs w:val="0"/>
          <w:sz w:val="26"/>
          <w:szCs w:val="26"/>
        </w:rPr>
      </w:pPr>
    </w:p>
    <w:p w:rsidR="00B80FF9" w:rsidRPr="00972CDF" w:rsidRDefault="00B80FF9" w:rsidP="00462F69">
      <w:pPr>
        <w:keepNext/>
        <w:keepLines/>
        <w:spacing w:after="0" w:line="240" w:lineRule="auto"/>
        <w:ind w:firstLine="709"/>
        <w:rPr>
          <w:rFonts w:eastAsia="SimSun"/>
          <w:kern w:val="2"/>
          <w:sz w:val="26"/>
          <w:szCs w:val="26"/>
          <w:highlight w:val="yellow"/>
        </w:rPr>
      </w:pPr>
      <w:bookmarkStart w:id="2" w:name="bookmark4"/>
    </w:p>
    <w:p w:rsidR="00B80FF9" w:rsidRPr="00690753" w:rsidRDefault="00B80FF9" w:rsidP="00972CDF">
      <w:pPr>
        <w:pStyle w:val="ae"/>
        <w:spacing w:beforeAutospacing="0" w:after="0" w:afterAutospacing="0"/>
        <w:ind w:firstLine="709"/>
        <w:jc w:val="both"/>
        <w:textAlignment w:val="baseline"/>
        <w:rPr>
          <w:rFonts w:eastAsia="SimSun"/>
          <w:kern w:val="2"/>
          <w:sz w:val="26"/>
          <w:szCs w:val="26"/>
          <w:highlight w:val="yellow"/>
        </w:rPr>
      </w:pPr>
    </w:p>
    <w:bookmarkEnd w:id="2"/>
    <w:p w:rsidR="00B80FF9" w:rsidRDefault="00B80FF9" w:rsidP="00972CDF">
      <w:pPr>
        <w:pStyle w:val="ae"/>
        <w:spacing w:beforeAutospacing="0" w:after="0" w:afterAutospacing="0"/>
        <w:ind w:firstLine="709"/>
        <w:jc w:val="both"/>
        <w:textAlignment w:val="baseline"/>
        <w:rPr>
          <w:rFonts w:eastAsia="SimSun"/>
          <w:kern w:val="2"/>
          <w:sz w:val="26"/>
          <w:szCs w:val="26"/>
        </w:rPr>
      </w:pPr>
    </w:p>
    <w:sectPr w:rsidR="00B80FF9">
      <w:pgSz w:w="11906" w:h="16838"/>
      <w:pgMar w:top="709" w:right="1134" w:bottom="567"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162D"/>
    <w:multiLevelType w:val="multilevel"/>
    <w:tmpl w:val="C29098DC"/>
    <w:lvl w:ilvl="0">
      <w:start w:val="2"/>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38554F57"/>
    <w:multiLevelType w:val="hybridMultilevel"/>
    <w:tmpl w:val="CA8CD68E"/>
    <w:lvl w:ilvl="0" w:tplc="B5DE8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0966ED2"/>
    <w:multiLevelType w:val="multilevel"/>
    <w:tmpl w:val="93D828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90E60DC"/>
    <w:multiLevelType w:val="multilevel"/>
    <w:tmpl w:val="361059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5A41B25"/>
    <w:multiLevelType w:val="multilevel"/>
    <w:tmpl w:val="0C58031C"/>
    <w:lvl w:ilvl="0">
      <w:start w:val="2"/>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F9"/>
    <w:rsid w:val="002446DF"/>
    <w:rsid w:val="00462F69"/>
    <w:rsid w:val="00690753"/>
    <w:rsid w:val="00972CDF"/>
    <w:rsid w:val="00B80FF9"/>
    <w:rsid w:val="00F4390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1A14C-C9F8-4ED2-A6AE-7ABDA449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717"/>
    <w:pPr>
      <w:spacing w:after="200" w:line="276" w:lineRule="auto"/>
    </w:pPr>
    <w:rPr>
      <w:rFonts w:ascii="Calibri" w:eastAsiaTheme="minorEastAsia"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semiHidden/>
    <w:qFormat/>
    <w:rsid w:val="00C21717"/>
    <w:rPr>
      <w:rFonts w:ascii="Times New Roman" w:eastAsia="Times New Roman" w:hAnsi="Times New Roman" w:cs="Times New Roman"/>
      <w:sz w:val="26"/>
      <w:szCs w:val="20"/>
      <w:lang w:eastAsia="ru-RU"/>
    </w:rPr>
  </w:style>
  <w:style w:type="character" w:customStyle="1" w:styleId="a5">
    <w:name w:val="Основной текст_"/>
    <w:basedOn w:val="a0"/>
    <w:link w:val="2"/>
    <w:qFormat/>
    <w:rsid w:val="00C6171C"/>
    <w:rPr>
      <w:rFonts w:ascii="Times New Roman" w:eastAsia="Times New Roman" w:hAnsi="Times New Roman" w:cs="Times New Roman"/>
      <w:sz w:val="26"/>
      <w:szCs w:val="26"/>
      <w:shd w:val="clear" w:color="auto" w:fill="FFFFFF"/>
    </w:rPr>
  </w:style>
  <w:style w:type="character" w:customStyle="1" w:styleId="20">
    <w:name w:val="Заголовок №2"/>
    <w:basedOn w:val="a0"/>
    <w:qFormat/>
    <w:rsid w:val="00C6171C"/>
    <w:rPr>
      <w:rFonts w:ascii="Times New Roman" w:eastAsia="Times New Roman" w:hAnsi="Times New Roman" w:cs="Times New Roman"/>
      <w:b/>
      <w:bCs/>
      <w:i w:val="0"/>
      <w:iCs w:val="0"/>
      <w:caps w:val="0"/>
      <w:smallCaps w:val="0"/>
      <w:strike w:val="0"/>
      <w:dstrike w:val="0"/>
      <w:color w:val="000000"/>
      <w:spacing w:val="0"/>
      <w:w w:val="100"/>
      <w:sz w:val="27"/>
      <w:szCs w:val="27"/>
      <w:u w:val="single"/>
      <w:lang w:val="ru-RU"/>
    </w:rPr>
  </w:style>
  <w:style w:type="character" w:customStyle="1" w:styleId="3">
    <w:name w:val="Основной текст (3)"/>
    <w:basedOn w:val="a0"/>
    <w:qFormat/>
    <w:rsid w:val="00C6171C"/>
    <w:rPr>
      <w:rFonts w:ascii="Times New Roman" w:eastAsia="Times New Roman" w:hAnsi="Times New Roman" w:cs="Times New Roman"/>
      <w:b/>
      <w:bCs/>
      <w:i w:val="0"/>
      <w:iCs w:val="0"/>
      <w:caps w:val="0"/>
      <w:smallCaps w:val="0"/>
      <w:strike w:val="0"/>
      <w:dstrike w:val="0"/>
      <w:color w:val="000000"/>
      <w:spacing w:val="0"/>
      <w:w w:val="100"/>
      <w:sz w:val="27"/>
      <w:szCs w:val="27"/>
      <w:u w:val="single"/>
      <w:lang w:val="ru-RU"/>
    </w:rPr>
  </w:style>
  <w:style w:type="character" w:customStyle="1" w:styleId="js-case-header-casenum">
    <w:name w:val="js-case-header-case_num"/>
    <w:basedOn w:val="a0"/>
    <w:qFormat/>
    <w:rsid w:val="00C90DA2"/>
  </w:style>
  <w:style w:type="character" w:styleId="a6">
    <w:name w:val="Emphasis"/>
    <w:basedOn w:val="a0"/>
    <w:uiPriority w:val="20"/>
    <w:qFormat/>
    <w:rsid w:val="00C60BA9"/>
    <w:rPr>
      <w:i/>
      <w:iCs/>
    </w:rPr>
  </w:style>
  <w:style w:type="character" w:customStyle="1" w:styleId="a7">
    <w:name w:val="Абзац списка Знак"/>
    <w:link w:val="a8"/>
    <w:uiPriority w:val="34"/>
    <w:qFormat/>
    <w:rsid w:val="00AF66CC"/>
    <w:rPr>
      <w:rFonts w:eastAsiaTheme="minorEastAsia"/>
      <w:lang w:eastAsia="ru-RU"/>
    </w:rPr>
  </w:style>
  <w:style w:type="character" w:customStyle="1" w:styleId="-">
    <w:name w:val="Интернет-ссылка"/>
    <w:rPr>
      <w:color w:val="000080"/>
      <w:u w:val="single"/>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4">
    <w:name w:val="Body Text Indent"/>
    <w:basedOn w:val="a"/>
    <w:link w:val="a3"/>
    <w:semiHidden/>
    <w:unhideWhenUsed/>
    <w:rsid w:val="00C21717"/>
    <w:pPr>
      <w:spacing w:after="0" w:line="240" w:lineRule="auto"/>
      <w:ind w:firstLine="851"/>
    </w:pPr>
    <w:rPr>
      <w:rFonts w:ascii="Times New Roman" w:eastAsia="Times New Roman" w:hAnsi="Times New Roman" w:cs="Times New Roman"/>
      <w:sz w:val="26"/>
      <w:szCs w:val="20"/>
    </w:rPr>
  </w:style>
  <w:style w:type="paragraph" w:styleId="a8">
    <w:name w:val="List Paragraph"/>
    <w:basedOn w:val="a"/>
    <w:link w:val="a7"/>
    <w:uiPriority w:val="34"/>
    <w:qFormat/>
    <w:rsid w:val="00C21717"/>
    <w:pPr>
      <w:ind w:left="720"/>
      <w:contextualSpacing/>
    </w:pPr>
  </w:style>
  <w:style w:type="paragraph" w:styleId="ae">
    <w:name w:val="Normal (Web)"/>
    <w:basedOn w:val="a"/>
    <w:uiPriority w:val="99"/>
    <w:unhideWhenUsed/>
    <w:qFormat/>
    <w:rsid w:val="00C21717"/>
    <w:pPr>
      <w:spacing w:beforeAutospacing="1" w:afterAutospacing="1" w:line="240" w:lineRule="auto"/>
    </w:pPr>
    <w:rPr>
      <w:rFonts w:ascii="Times New Roman" w:eastAsia="Times New Roman" w:hAnsi="Times New Roman" w:cs="Times New Roman"/>
      <w:sz w:val="24"/>
      <w:szCs w:val="24"/>
    </w:rPr>
  </w:style>
  <w:style w:type="paragraph" w:customStyle="1" w:styleId="2">
    <w:name w:val="Основной текст2"/>
    <w:basedOn w:val="a"/>
    <w:link w:val="a5"/>
    <w:qFormat/>
    <w:rsid w:val="00C6171C"/>
    <w:pPr>
      <w:widowControl w:val="0"/>
      <w:shd w:val="clear" w:color="auto" w:fill="FFFFFF"/>
      <w:spacing w:after="0" w:line="320" w:lineRule="exact"/>
      <w:jc w:val="both"/>
    </w:pPr>
    <w:rPr>
      <w:rFonts w:ascii="Times New Roman" w:eastAsia="Times New Roman" w:hAnsi="Times New Roman" w:cs="Times New Roman"/>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23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3AB4C68527F63DC4E01B79A3D59D6871BC85B4CD15443CA2F041E7B9AF838F5F1F46BB91D22D322DF122DA9146B4FE97ECF4A60BF1b4z2P" TargetMode="External"/><Relationship Id="rId18" Type="http://schemas.openxmlformats.org/officeDocument/2006/relationships/hyperlink" Target="consultantplus://offline/ref=C83AB4C68527F63DC4E01B79A3D59D6871BE80B5CB1D443CA2F041E7B9AF838F5F1F46BB96D32F317AAB32DED811B8E297F3EBA515F140B9b5zAP" TargetMode="External"/><Relationship Id="rId26" Type="http://schemas.openxmlformats.org/officeDocument/2006/relationships/hyperlink" Target="consultantplus://offline/ref=9C064594B0F677056A003B748E325845B63DC3049224B6637E86DF668C661CE53B6C17FD2EEF5DCBDA7CEF3C38RDP2I" TargetMode="External"/><Relationship Id="rId39" Type="http://schemas.openxmlformats.org/officeDocument/2006/relationships/hyperlink" Target="consultantplus://offline/ref=9C064594B0F677056A003B748E325845B63DC3049224B6637E86DF668C661CE5296C4FF32BEC489E8926B8313AD1D2CEA6B244EE61RDPFI" TargetMode="External"/><Relationship Id="rId3" Type="http://schemas.openxmlformats.org/officeDocument/2006/relationships/settings" Target="settings.xml"/><Relationship Id="rId21" Type="http://schemas.openxmlformats.org/officeDocument/2006/relationships/hyperlink" Target="consultantplus://offline/ref=C83AB4C68527F63DC4E00579A4BDC36472B5D9BAC915486BFCA747B0E6FF85DA1F5F40EEC7977E347BA1788E9D5AB7E094bEzFP" TargetMode="External"/><Relationship Id="rId34" Type="http://schemas.openxmlformats.org/officeDocument/2006/relationships/hyperlink" Target="consultantplus://offline/ref=9C064594B0F677056A003B748E325845B63DCA01932AB6637E86DF668C661CE5296C4FF12EEF47C3DF69B96D7E85C1CFA5B247EC7DDF3327RBP4I" TargetMode="External"/><Relationship Id="rId42" Type="http://schemas.openxmlformats.org/officeDocument/2006/relationships/hyperlink" Target="consultantplus://offline/ref=9C064594B0F677056A003B748E325845B63DC3049224B6637E86DF668C661CE53B6C17FD2EEF5DCBDA7CEF3C38RDP2I" TargetMode="External"/><Relationship Id="rId47" Type="http://schemas.openxmlformats.org/officeDocument/2006/relationships/hyperlink" Target="consultantplus://offline/ref=9C064594B0F677056A003B748E325845B63DC3049224B6637E86DF668C661CE5296C4FF228EC489E8926B8313AD1D2CEA6B244EE61RDPFI" TargetMode="External"/><Relationship Id="rId50" Type="http://schemas.openxmlformats.org/officeDocument/2006/relationships/theme" Target="theme/theme1.xml"/><Relationship Id="rId7" Type="http://schemas.openxmlformats.org/officeDocument/2006/relationships/hyperlink" Target="consultantplus://offline/ref=2DAD67CC5B91119C09941345045322B4C1EBD71D09F43E132B3BE51E46AC038A1DCD2975D7C8BBE4900DB45DC3E2931CC214B554BEQD7CG" TargetMode="External"/><Relationship Id="rId12" Type="http://schemas.openxmlformats.org/officeDocument/2006/relationships/hyperlink" Target="consultantplus://offline/ref=1BC1BBB9FFF42E04B1254D36D8880CD2ADA3BD68843448F68AE128C2E9AA6BCF211816B8FF5BBD405EEB6A36D0FB0396237DCB05EC6ABE3EpAx5H" TargetMode="External"/><Relationship Id="rId17" Type="http://schemas.openxmlformats.org/officeDocument/2006/relationships/hyperlink" Target="consultantplus://offline/ref=C83AB4C68527F63DC4E01B79A3D59D6871BE80B5CB1D443CA2F041E7B9AF838F5F1F46BB96D32F3E79AB32DED811B8E297F3EBA515F140B9b5zAP" TargetMode="External"/><Relationship Id="rId25" Type="http://schemas.openxmlformats.org/officeDocument/2006/relationships/hyperlink" Target="consultantplus://offline/ref=9C064594B0F677056A003B748E325845B63DC3049224B6637E86DF668C661CE53B6C17FD2EEF5DCBDA7CEF3C38RDP2I" TargetMode="External"/><Relationship Id="rId33" Type="http://schemas.openxmlformats.org/officeDocument/2006/relationships/hyperlink" Target="consultantplus://offline/ref=9C064594B0F677056A003B748E325845B63DCA01932AB6637E86DF668C661CE5296C4FF128E6489E8926B8313AD1D2CEA6B244EE61RDPFI" TargetMode="External"/><Relationship Id="rId38" Type="http://schemas.openxmlformats.org/officeDocument/2006/relationships/hyperlink" Target="consultantplus://offline/ref=9C064594B0F677056A003B748E325845B63DC3049224B6637E86DF668C661CE5296C4FF228E9489E8926B8313AD1D2CEA6B244EE61RDPFI" TargetMode="External"/><Relationship Id="rId46" Type="http://schemas.openxmlformats.org/officeDocument/2006/relationships/hyperlink" Target="consultantplus://offline/ref=9C064594B0F677056A003B748E325845B63FCA009028B6637E86DF668C661CE5296C4FF12EEE41C9D069B96D7E85C1CFA5B247EC7DDF3327RBP4I" TargetMode="External"/><Relationship Id="rId2" Type="http://schemas.openxmlformats.org/officeDocument/2006/relationships/styles" Target="styles.xml"/><Relationship Id="rId16" Type="http://schemas.openxmlformats.org/officeDocument/2006/relationships/hyperlink" Target="consultantplus://offline/ref=C83AB4C68527F63DC4E01B79A3D59D6871BE80B5CB1D443CA2F041E7B9AF838F5F1F46BB96D32E3A78AB32DED811B8E297F3EBA515F140B9b5zAP" TargetMode="External"/><Relationship Id="rId20" Type="http://schemas.openxmlformats.org/officeDocument/2006/relationships/hyperlink" Target="consultantplus://offline/ref=C83AB4C68527F63DC4E0166AB6D59D6870B781B1C316443CA2F041E7B9AF838F4D1F1EB794D2353878BE648F9Eb4z6P" TargetMode="External"/><Relationship Id="rId29" Type="http://schemas.openxmlformats.org/officeDocument/2006/relationships/hyperlink" Target="consultantplus://offline/ref=9C064594B0F677056A003B748E325845B63EC302972EB6637E86DF668C661CE53B6C17FD2EEF5DCBDA7CEF3C38RDP2I" TargetMode="External"/><Relationship Id="rId41" Type="http://schemas.openxmlformats.org/officeDocument/2006/relationships/hyperlink" Target="consultantplus://offline/ref=9C064594B0F677056A003B748E325845B13BC200962AB6637E86DF668C661CE5296C4FF12EEE43CBD169B96D7E85C1CFA5B247EC7DDF3327RBP4I" TargetMode="External"/><Relationship Id="rId1" Type="http://schemas.openxmlformats.org/officeDocument/2006/relationships/numbering" Target="numbering.xml"/><Relationship Id="rId6" Type="http://schemas.openxmlformats.org/officeDocument/2006/relationships/hyperlink" Target="consultantplus://offline/ref=2DAD67CC5B91119C09941345045322B4C1EBD71D09F43E132B3BE51E46AC038A1DCD2977D2CAB0B1C342B50187B6801DC114B656A2DCF0B9Q274G" TargetMode="External"/><Relationship Id="rId11" Type="http://schemas.openxmlformats.org/officeDocument/2006/relationships/hyperlink" Target="consultantplus://offline/ref=1BC1BBB9FFF42E04B1254D36D8880CD2ADA3BD68843448F68AE128C2E9AA6BCF211816BAFA58B0170CA46B6A94AF1097207DC807F0p6xAH" TargetMode="External"/><Relationship Id="rId24" Type="http://schemas.openxmlformats.org/officeDocument/2006/relationships/hyperlink" Target="consultantplus://offline/ref=9C064594B0F677056A003B748E325845B63DC3049224B6637E86DF668C661CE5296C4FF62CE5179B9C37E03C3BCECDCDBAAE46ECR6P1I" TargetMode="External"/><Relationship Id="rId32" Type="http://schemas.openxmlformats.org/officeDocument/2006/relationships/hyperlink" Target="consultantplus://offline/ref=9C064594B0F677056A003B748E325845B63DCA01932AB6637E86DF668C661CE5296C4FF12EEF47C3D969B96D7E85C1CFA5B247EC7DDF3327RBP4I" TargetMode="External"/><Relationship Id="rId37" Type="http://schemas.openxmlformats.org/officeDocument/2006/relationships/hyperlink" Target="consultantplus://offline/ref=9C064594B0F677056A003B748E325845B63DCA01932AB6637E86DF668C661CE5296C4FF129E9489E8926B8313AD1D2CEA6B244EE61RDPFI" TargetMode="External"/><Relationship Id="rId40" Type="http://schemas.openxmlformats.org/officeDocument/2006/relationships/hyperlink" Target="consultantplus://offline/ref=9C064594B0F677056A003B748E325845B63DC3049224B6637E86DF668C661CE5296C4FF228EC489E8926B8313AD1D2CEA6B244EE61RDPFI" TargetMode="External"/><Relationship Id="rId45" Type="http://schemas.openxmlformats.org/officeDocument/2006/relationships/hyperlink" Target="consultantplus://offline/ref=9C064594B0F677056A003B748E325845B63DCA01932AB6637E86DF668C661CE5296C4FF12FE640C18C33A96937D0CDD1A5AE58EC63DFR3P1I" TargetMode="External"/><Relationship Id="rId5" Type="http://schemas.openxmlformats.org/officeDocument/2006/relationships/hyperlink" Target="consultantplus://offline/ref=2DAD67CC5B91119C09941345045322B4C1EBD71D09F43E132B3BE51E46AC038A0FCD717BD2CBAEB1C357E350C1QE71G" TargetMode="External"/><Relationship Id="rId15" Type="http://schemas.openxmlformats.org/officeDocument/2006/relationships/hyperlink" Target="consultantplus://offline/ref=C83AB4C68527F63DC4E01B79A3D59D6871BE80B5CB1D443CA2F041E7B9AF838F5F1F46BB96D32D3979AB32DED811B8E297F3EBA515F140B9b5zAP" TargetMode="External"/><Relationship Id="rId23" Type="http://schemas.openxmlformats.org/officeDocument/2006/relationships/hyperlink" Target="consultantplus://offline/ref=9C064594B0F677056A003B748E325845B63DC3049224B6637E86DF668C661CE5296C4FF228E9489E8926B8313AD1D2CEA6B244EE61RDPFI" TargetMode="External"/><Relationship Id="rId28" Type="http://schemas.openxmlformats.org/officeDocument/2006/relationships/hyperlink" Target="consultantplus://offline/ref=9C064594B0F677056A003B748E325845B63DC3049224B6637E86DF668C661CE5296C4FF62AE5179B9C37E03C3BCECDCDBAAE46ECR6P1I" TargetMode="External"/><Relationship Id="rId36" Type="http://schemas.openxmlformats.org/officeDocument/2006/relationships/hyperlink" Target="consultantplus://offline/ref=9C064594B0F677056A003B748E325845B63DCA01932AB6637E86DF668C661CE5296C4FF129EB489E8926B8313AD1D2CEA6B244EE61RDPFI" TargetMode="External"/><Relationship Id="rId49" Type="http://schemas.openxmlformats.org/officeDocument/2006/relationships/fontTable" Target="fontTable.xml"/><Relationship Id="rId10" Type="http://schemas.openxmlformats.org/officeDocument/2006/relationships/hyperlink" Target="consultantplus://offline/ref=1BC1BBB9FFF42E04B1254D36D8880CD2ADA3BD68843448F68AE128C2E9AA6BCF211816BAFA59B0170CA46B6A94AF1097207DC807F0p6xAH" TargetMode="External"/><Relationship Id="rId19" Type="http://schemas.openxmlformats.org/officeDocument/2006/relationships/hyperlink" Target="consultantplus://offline/ref=C83AB4C68527F63DC4E01B79A3D59D6871BE80B5CB1D443CA2F041E7B9AF838F5F1F46BB96D32F3F70AB32DED811B8E297F3EBA515F140B9b5zAP" TargetMode="External"/><Relationship Id="rId31" Type="http://schemas.openxmlformats.org/officeDocument/2006/relationships/hyperlink" Target="consultantplus://offline/ref=9C064594B0F677056A003B748E325845B63EC8079B2BB6637E86DF668C661CE53B6C17FD2EEF5DCBDA7CEF3C38RDP2I" TargetMode="External"/><Relationship Id="rId44" Type="http://schemas.openxmlformats.org/officeDocument/2006/relationships/hyperlink" Target="consultantplus://offline/ref=9C064594B0F677056A003B748E325845B63DC3049224B6637E86DF668C661CE5296C4FF62CE5179B9C37E03C3BCECDCDBAAE46ECR6P1I" TargetMode="External"/><Relationship Id="rId4" Type="http://schemas.openxmlformats.org/officeDocument/2006/relationships/webSettings" Target="webSettings.xml"/><Relationship Id="rId9" Type="http://schemas.openxmlformats.org/officeDocument/2006/relationships/hyperlink" Target="consultantplus://offline/ref=2DAD67CC5B91119C09941345045322B4C1EBD71D09F43E132B3BE51E46AC038A1DCD2977D2CAB0B1C342B50187B6801DC114B656A2DCF0B9Q274G" TargetMode="External"/><Relationship Id="rId14" Type="http://schemas.openxmlformats.org/officeDocument/2006/relationships/hyperlink" Target="consultantplus://offline/ref=C83AB4C68527F63DC4E01B79A3D59D6871BC85B4CD15443CA2F041E7B9AF838F5F1F46BC94D6206D28E433829E45ABE197F3E8A409bFz1P" TargetMode="External"/><Relationship Id="rId22" Type="http://schemas.openxmlformats.org/officeDocument/2006/relationships/hyperlink" Target="consultantplus://offline/ref=C83AB4C68527F63DC4E01B79A3D59D6871BC8EB3CC13443CA2F041E7B9AF838F5F1F46BB91DB206D28E433829E45ABE197F3E8A409bFz1P" TargetMode="External"/><Relationship Id="rId27" Type="http://schemas.openxmlformats.org/officeDocument/2006/relationships/hyperlink" Target="consultantplus://offline/ref=9C064594B0F677056A003B748E325845B63DC3049224B6637E86DF668C661CE5296C4FF228E9489E8926B8313AD1D2CEA6B244EE61RDPFI" TargetMode="External"/><Relationship Id="rId30" Type="http://schemas.openxmlformats.org/officeDocument/2006/relationships/hyperlink" Target="consultantplus://offline/ref=9C064594B0F677056A003B748E325845B63CCE029025B6637E86DF668C661CE53B6C17FD2EEF5DCBDA7CEF3C38RDP2I" TargetMode="External"/><Relationship Id="rId35" Type="http://schemas.openxmlformats.org/officeDocument/2006/relationships/hyperlink" Target="consultantplus://offline/ref=9C064594B0F677056A003B748E325845B63DCA01932AB6637E86DF668C661CE5296C4FF129ED489E8926B8313AD1D2CEA6B244EE61RDPFI" TargetMode="External"/><Relationship Id="rId43" Type="http://schemas.openxmlformats.org/officeDocument/2006/relationships/hyperlink" Target="consultantplus://offline/ref=9C064594B0F677056A003B748E325845B63DC3049224B6637E86DF668C661CE5296C4FF228EC489E8926B8313AD1D2CEA6B244EE61RDPFI" TargetMode="External"/><Relationship Id="rId48" Type="http://schemas.openxmlformats.org/officeDocument/2006/relationships/hyperlink" Target="consultantplus://offline/ref=9C064594B0F677056A003B748E325845B63DC3049224B6637E86DF668C661CE5296C4FF228E9489E8926B8313AD1D2CEA6B244EE61RDPFI" TargetMode="External"/><Relationship Id="rId8" Type="http://schemas.openxmlformats.org/officeDocument/2006/relationships/hyperlink" Target="consultantplus://offline/ref=2DAD67CC5B91119C09941345045322B4C1EBD71D09F43E132B3BE51E46AC038A1DCD2977D2CAB1B5C242B50187B6801DC114B656A2DCF0B9Q27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6845</Words>
  <Characters>39020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Юрьевна Авдеева</dc:creator>
  <dc:description/>
  <cp:lastModifiedBy>Брагина Людмила Юрьевна</cp:lastModifiedBy>
  <cp:revision>3</cp:revision>
  <dcterms:created xsi:type="dcterms:W3CDTF">2022-12-01T10:26:00Z</dcterms:created>
  <dcterms:modified xsi:type="dcterms:W3CDTF">2022-12-01T12:23:00Z</dcterms:modified>
  <dc:language>ru-RU</dc:language>
</cp:coreProperties>
</file>