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Override PartName="/word/drawings/drawing6.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charts/chart8.xml" ContentType="application/vnd.openxmlformats-officedocument.drawingml.chart+xml"/>
  <Override PartName="/word/drawings/drawing5.xml" ContentType="application/vnd.openxmlformats-officedocument.drawingml.chartshapes+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129" w:rsidRPr="004536AF" w:rsidRDefault="000E6392" w:rsidP="000E6392">
      <w:pPr>
        <w:jc w:val="center"/>
        <w:rPr>
          <w:rFonts w:ascii="Times New Roman" w:hAnsi="Times New Roman" w:cs="Times New Roman"/>
          <w:b/>
          <w:sz w:val="56"/>
          <w:szCs w:val="56"/>
        </w:rPr>
      </w:pPr>
      <w:r w:rsidRPr="004536AF">
        <w:rPr>
          <w:rFonts w:ascii="Times New Roman" w:hAnsi="Times New Roman" w:cs="Times New Roman"/>
          <w:b/>
          <w:sz w:val="56"/>
          <w:szCs w:val="56"/>
        </w:rPr>
        <w:t>ДОКЛАД</w:t>
      </w:r>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w:t>
      </w:r>
      <w:r>
        <w:rPr>
          <w:rFonts w:ascii="Times New Roman" w:hAnsi="Times New Roman" w:cs="Times New Roman"/>
          <w:sz w:val="28"/>
          <w:szCs w:val="28"/>
        </w:rPr>
        <w:t xml:space="preserve"> </w:t>
      </w:r>
      <w:r w:rsidRPr="00E17A9B">
        <w:rPr>
          <w:rFonts w:ascii="Times New Roman" w:hAnsi="Times New Roman" w:cs="Times New Roman"/>
          <w:bCs/>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 Гражданском</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 xml:space="preserve">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w:t>
      </w:r>
      <w:proofErr w:type="spellStart"/>
      <w:r w:rsidRPr="000B72A0">
        <w:rPr>
          <w:sz w:val="28"/>
          <w:szCs w:val="27"/>
        </w:rPr>
        <w:t>Роспотребнадзор</w:t>
      </w:r>
      <w:proofErr w:type="spellEnd"/>
      <w:r w:rsidRPr="000B72A0">
        <w:rPr>
          <w:sz w:val="28"/>
          <w:szCs w:val="27"/>
        </w:rPr>
        <w:t xml:space="preserve">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w:t>
      </w:r>
      <w:proofErr w:type="spellStart"/>
      <w:r w:rsidRPr="000B72A0">
        <w:rPr>
          <w:sz w:val="28"/>
          <w:szCs w:val="27"/>
        </w:rPr>
        <w:t>Роспотребнадзор</w:t>
      </w:r>
      <w:proofErr w:type="spellEnd"/>
      <w:r w:rsidRPr="000B72A0">
        <w:rPr>
          <w:sz w:val="28"/>
          <w:szCs w:val="27"/>
        </w:rPr>
        <w:t xml:space="preserve">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w:t>
      </w:r>
      <w:r w:rsidRPr="000B72A0">
        <w:rPr>
          <w:sz w:val="28"/>
          <w:szCs w:val="27"/>
        </w:rPr>
        <w:lastRenderedPageBreak/>
        <w:t>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 xml:space="preserve">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w:t>
      </w:r>
      <w:r w:rsidRPr="000B72A0">
        <w:rPr>
          <w:sz w:val="28"/>
          <w:szCs w:val="27"/>
        </w:rPr>
        <w:lastRenderedPageBreak/>
        <w:t>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w:t>
      </w:r>
      <w:r w:rsidRPr="000B72A0">
        <w:rPr>
          <w:sz w:val="28"/>
          <w:szCs w:val="28"/>
        </w:rPr>
        <w:lastRenderedPageBreak/>
        <w:t>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 xml:space="preserve">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w:t>
      </w:r>
      <w:proofErr w:type="spellStart"/>
      <w:r w:rsidRPr="000B72A0">
        <w:rPr>
          <w:sz w:val="28"/>
          <w:szCs w:val="28"/>
        </w:rPr>
        <w:t>антиконкурентных</w:t>
      </w:r>
      <w:proofErr w:type="spellEnd"/>
      <w:r w:rsidRPr="000B72A0">
        <w:rPr>
          <w:sz w:val="28"/>
          <w:szCs w:val="28"/>
        </w:rPr>
        <w:t xml:space="preserve">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lastRenderedPageBreak/>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w:t>
      </w:r>
      <w:r w:rsidRPr="000B72A0">
        <w:rPr>
          <w:sz w:val="28"/>
          <w:szCs w:val="28"/>
        </w:rPr>
        <w:lastRenderedPageBreak/>
        <w:t>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Российская Федерация является участником Парижской конвенции по охране промышленной собственности, статья 10 </w:t>
      </w:r>
      <w:proofErr w:type="spellStart"/>
      <w:r w:rsidRPr="000B72A0">
        <w:rPr>
          <w:sz w:val="28"/>
          <w:szCs w:val="28"/>
        </w:rPr>
        <w:t>bis</w:t>
      </w:r>
      <w:proofErr w:type="spellEnd"/>
      <w:r w:rsidRPr="000B72A0">
        <w:rPr>
          <w:sz w:val="28"/>
          <w:szCs w:val="28"/>
        </w:rPr>
        <w:t xml:space="preserve">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w:t>
      </w:r>
      <w:r w:rsidRPr="000B72A0">
        <w:rPr>
          <w:sz w:val="28"/>
          <w:szCs w:val="28"/>
        </w:rPr>
        <w:lastRenderedPageBreak/>
        <w:t>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w:t>
      </w:r>
      <w:r w:rsidRPr="000B72A0">
        <w:rPr>
          <w:sz w:val="28"/>
          <w:szCs w:val="28"/>
        </w:rPr>
        <w:lastRenderedPageBreak/>
        <w:t>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w:t>
      </w:r>
      <w:r w:rsidRPr="00771783">
        <w:rPr>
          <w:rFonts w:ascii="Times New Roman" w:eastAsia="Times New Roman" w:hAnsi="Times New Roman" w:cs="Times New Roman"/>
          <w:sz w:val="28"/>
          <w:szCs w:val="28"/>
          <w:lang w:eastAsia="ru-RU"/>
        </w:rPr>
        <w:lastRenderedPageBreak/>
        <w:t>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7) </w:t>
      </w:r>
      <w:proofErr w:type="spellStart"/>
      <w:r w:rsidRPr="00771783">
        <w:rPr>
          <w:rFonts w:ascii="Times New Roman" w:eastAsia="Times New Roman" w:hAnsi="Times New Roman" w:cs="Times New Roman"/>
          <w:sz w:val="28"/>
          <w:szCs w:val="28"/>
          <w:lang w:eastAsia="ru-RU"/>
        </w:rPr>
        <w:t>государственныому</w:t>
      </w:r>
      <w:proofErr w:type="spellEnd"/>
      <w:r w:rsidRPr="00771783">
        <w:rPr>
          <w:rFonts w:ascii="Times New Roman" w:eastAsia="Times New Roman" w:hAnsi="Times New Roman" w:cs="Times New Roman"/>
          <w:sz w:val="28"/>
          <w:szCs w:val="28"/>
          <w:lang w:eastAsia="ru-RU"/>
        </w:rPr>
        <w:t xml:space="preserve">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w:t>
      </w:r>
      <w:r w:rsidRPr="00771783">
        <w:rPr>
          <w:rFonts w:ascii="Times New Roman" w:eastAsia="Times New Roman" w:hAnsi="Times New Roman" w:cs="Times New Roman"/>
          <w:sz w:val="28"/>
          <w:szCs w:val="28"/>
          <w:lang w:eastAsia="ru-RU"/>
        </w:rPr>
        <w:lastRenderedPageBreak/>
        <w:t>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w:t>
      </w:r>
      <w:r w:rsidRPr="00771783">
        <w:rPr>
          <w:rFonts w:ascii="Times New Roman" w:eastAsia="Times New Roman" w:hAnsi="Times New Roman" w:cs="Times New Roman"/>
          <w:sz w:val="28"/>
          <w:szCs w:val="28"/>
          <w:lang w:eastAsia="ru-RU"/>
        </w:rPr>
        <w:lastRenderedPageBreak/>
        <w:t>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w:t>
      </w:r>
      <w:r w:rsidRPr="003551B0">
        <w:rPr>
          <w:rFonts w:ascii="Times New Roman" w:eastAsia="Times New Roman" w:hAnsi="Times New Roman" w:cs="Times New Roman"/>
          <w:sz w:val="28"/>
          <w:szCs w:val="28"/>
          <w:lang w:eastAsia="ru-RU"/>
        </w:rPr>
        <w:lastRenderedPageBreak/>
        <w:t>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lastRenderedPageBreak/>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w:t>
      </w:r>
      <w:r w:rsidRPr="003551B0">
        <w:rPr>
          <w:rFonts w:ascii="Times New Roman" w:eastAsia="Times New Roman" w:hAnsi="Times New Roman" w:cs="Times New Roman"/>
          <w:sz w:val="28"/>
          <w:szCs w:val="28"/>
          <w:lang w:eastAsia="ru-RU"/>
        </w:rPr>
        <w:lastRenderedPageBreak/>
        <w:t xml:space="preserve">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w:t>
      </w:r>
      <w:proofErr w:type="spellStart"/>
      <w:r w:rsidRPr="0064464E">
        <w:rPr>
          <w:sz w:val="28"/>
          <w:szCs w:val="28"/>
        </w:rPr>
        <w:t>антиконкурентных</w:t>
      </w:r>
      <w:proofErr w:type="spellEnd"/>
      <w:r w:rsidRPr="0064464E">
        <w:rPr>
          <w:sz w:val="28"/>
          <w:szCs w:val="28"/>
        </w:rPr>
        <w:t xml:space="preserve">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w:t>
      </w:r>
      <w:r w:rsidRPr="0064464E">
        <w:rPr>
          <w:sz w:val="28"/>
          <w:szCs w:val="28"/>
        </w:rPr>
        <w:lastRenderedPageBreak/>
        <w:t>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w:t>
      </w:r>
      <w:r w:rsidRPr="0064464E">
        <w:rPr>
          <w:sz w:val="28"/>
          <w:szCs w:val="28"/>
        </w:rPr>
        <w:lastRenderedPageBreak/>
        <w:t>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w:t>
      </w:r>
      <w:proofErr w:type="spellStart"/>
      <w:r w:rsidRPr="0064464E">
        <w:rPr>
          <w:sz w:val="28"/>
          <w:szCs w:val="28"/>
        </w:rPr>
        <w:t>общерегулятивный</w:t>
      </w:r>
      <w:proofErr w:type="spellEnd"/>
      <w:r w:rsidRPr="0064464E">
        <w:rPr>
          <w:sz w:val="28"/>
          <w:szCs w:val="28"/>
        </w:rPr>
        <w:t xml:space="preserve">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 xml:space="preserve">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w:t>
      </w:r>
      <w:r w:rsidR="0064464E" w:rsidRPr="0064464E">
        <w:rPr>
          <w:sz w:val="28"/>
          <w:szCs w:val="28"/>
        </w:rPr>
        <w:lastRenderedPageBreak/>
        <w:t>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lastRenderedPageBreak/>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w:t>
      </w:r>
      <w:r w:rsidRPr="0064464E">
        <w:rPr>
          <w:sz w:val="28"/>
          <w:szCs w:val="28"/>
        </w:rPr>
        <w:lastRenderedPageBreak/>
        <w:t>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w:t>
      </w:r>
      <w:r w:rsidRPr="0064464E">
        <w:rPr>
          <w:sz w:val="28"/>
          <w:szCs w:val="28"/>
        </w:rPr>
        <w:lastRenderedPageBreak/>
        <w:t>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rPr>
        <w:t>ОПРЕДЕЛЕНИЕ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rPr>
      </w:pP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rPr>
      </w:pPr>
      <w:bookmarkStart w:id="0" w:name="bookmark1"/>
      <w:r w:rsidRPr="0068565D">
        <w:rPr>
          <w:rFonts w:ascii="Times New Roman" w:hAnsi="Times New Roman"/>
          <w:b/>
          <w:sz w:val="28"/>
          <w:szCs w:val="28"/>
        </w:rPr>
        <w:t>Общие положения</w:t>
      </w:r>
      <w:bookmarkEnd w:id="0"/>
    </w:p>
    <w:p w:rsidR="0064464E" w:rsidRPr="0068565D" w:rsidRDefault="0064464E" w:rsidP="0064464E">
      <w:pPr>
        <w:spacing w:after="0" w:line="240" w:lineRule="auto"/>
        <w:ind w:firstLine="709"/>
        <w:jc w:val="both"/>
        <w:rPr>
          <w:rFonts w:ascii="Times New Roman" w:hAnsi="Times New Roman"/>
          <w:b/>
          <w:sz w:val="28"/>
          <w:szCs w:val="28"/>
        </w:rPr>
      </w:pP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w:t>
      </w:r>
      <w:r w:rsidRPr="0068565D">
        <w:rPr>
          <w:rFonts w:ascii="Times New Roman" w:hAnsi="Times New Roman"/>
          <w:sz w:val="28"/>
          <w:szCs w:val="28"/>
        </w:rPr>
        <w:lastRenderedPageBreak/>
        <w:t>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 в Российской Федерации,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Условия признания доминирующим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w:t>
      </w:r>
      <w:r w:rsidRPr="0068565D">
        <w:rPr>
          <w:rFonts w:ascii="Times New Roman" w:hAnsi="Times New Roman"/>
          <w:sz w:val="28"/>
          <w:szCs w:val="28"/>
        </w:rPr>
        <w:lastRenderedPageBreak/>
        <w:t>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затратный метод;</w:t>
      </w:r>
    </w:p>
    <w:p w:rsidR="0064464E" w:rsidRPr="0068565D" w:rsidRDefault="0064464E" w:rsidP="0064464E">
      <w:pPr>
        <w:numPr>
          <w:ilvl w:val="0"/>
          <w:numId w:val="2"/>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метод сопоставимых рынков.</w:t>
      </w:r>
    </w:p>
    <w:p w:rsidR="0064464E" w:rsidRPr="001375B6" w:rsidRDefault="0064464E" w:rsidP="0064464E">
      <w:pPr>
        <w:spacing w:after="0" w:line="240" w:lineRule="auto"/>
        <w:ind w:firstLine="709"/>
        <w:jc w:val="both"/>
        <w:rPr>
          <w:rFonts w:ascii="Times New Roman" w:hAnsi="Times New Roman"/>
          <w:sz w:val="28"/>
          <w:szCs w:val="28"/>
        </w:rPr>
      </w:pPr>
      <w:r w:rsidRPr="001375B6">
        <w:rPr>
          <w:rFonts w:ascii="Times New Roman" w:hAnsi="Times New Roman"/>
          <w:sz w:val="28"/>
          <w:szCs w:val="28"/>
        </w:rPr>
        <w:t xml:space="preserve">Согласно части 4 статьи 6 Закона о защите конкуренции цена товара не признается монопольно высокой в случае </w:t>
      </w:r>
      <w:proofErr w:type="spellStart"/>
      <w:r w:rsidRPr="001375B6">
        <w:rPr>
          <w:rFonts w:ascii="Times New Roman" w:hAnsi="Times New Roman"/>
          <w:sz w:val="28"/>
          <w:szCs w:val="28"/>
        </w:rPr>
        <w:t>непревышения</w:t>
      </w:r>
      <w:proofErr w:type="spellEnd"/>
      <w:r w:rsidRPr="001375B6">
        <w:rPr>
          <w:rFonts w:ascii="Times New Roman" w:hAnsi="Times New Roman"/>
          <w:sz w:val="28"/>
          <w:szCs w:val="28"/>
        </w:rPr>
        <w:t xml:space="preserve">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rPr>
      </w:pPr>
    </w:p>
    <w:p w:rsidR="0064464E" w:rsidRPr="0068565D" w:rsidRDefault="0064464E" w:rsidP="0064464E">
      <w:pPr>
        <w:spacing w:after="0" w:line="240" w:lineRule="auto"/>
        <w:jc w:val="center"/>
        <w:rPr>
          <w:rFonts w:ascii="Times New Roman" w:hAnsi="Times New Roman"/>
          <w:b/>
          <w:sz w:val="28"/>
          <w:szCs w:val="28"/>
        </w:rPr>
      </w:pPr>
      <w:bookmarkStart w:id="1" w:name="bookmark2"/>
      <w:r w:rsidRPr="0068565D">
        <w:rPr>
          <w:rFonts w:ascii="Times New Roman" w:hAnsi="Times New Roman"/>
          <w:b/>
          <w:sz w:val="28"/>
          <w:szCs w:val="28"/>
        </w:rPr>
        <w:t>Метод сопоставимых рынков</w:t>
      </w:r>
      <w:bookmarkEnd w:id="1"/>
    </w:p>
    <w:p w:rsidR="0064464E" w:rsidRPr="0068565D" w:rsidRDefault="0064464E" w:rsidP="0064464E">
      <w:pPr>
        <w:spacing w:after="0" w:line="240" w:lineRule="auto"/>
        <w:ind w:firstLine="709"/>
        <w:jc w:val="both"/>
        <w:rPr>
          <w:rFonts w:ascii="Times New Roman" w:hAnsi="Times New Roman"/>
          <w:b/>
          <w:sz w:val="28"/>
          <w:szCs w:val="28"/>
        </w:rPr>
      </w:pP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Оценку цены</w:t>
      </w:r>
      <w:r>
        <w:rPr>
          <w:rFonts w:ascii="Times New Roman" w:hAnsi="Times New Roman"/>
          <w:sz w:val="28"/>
          <w:szCs w:val="28"/>
        </w:rPr>
        <w:t xml:space="preserve"> товара на предмет того</w:t>
      </w:r>
      <w:r w:rsidRPr="0068565D">
        <w:rPr>
          <w:rFonts w:ascii="Times New Roman" w:hAnsi="Times New Roman"/>
          <w:sz w:val="28"/>
          <w:szCs w:val="28"/>
        </w:rPr>
        <w:t xml:space="preserve"> является ли она</w:t>
      </w:r>
      <w:r>
        <w:rPr>
          <w:rFonts w:ascii="Times New Roman" w:hAnsi="Times New Roman"/>
          <w:sz w:val="28"/>
          <w:szCs w:val="28"/>
        </w:rPr>
        <w:t xml:space="preserve"> монопольно высокой или низкой </w:t>
      </w:r>
      <w:r w:rsidRPr="0068565D">
        <w:rPr>
          <w:rFonts w:ascii="Times New Roman" w:hAnsi="Times New Roman"/>
          <w:sz w:val="28"/>
          <w:szCs w:val="28"/>
        </w:rPr>
        <w:t>необходимо начинать с установления наличия сопоставимых конкурентных рынков (сопоставимого конкурентного 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Пунктом 2 част</w:t>
      </w:r>
      <w:r>
        <w:rPr>
          <w:rFonts w:ascii="Times New Roman" w:hAnsi="Times New Roman"/>
          <w:sz w:val="28"/>
          <w:szCs w:val="28"/>
        </w:rPr>
        <w:t>и</w:t>
      </w:r>
      <w:r w:rsidRPr="0068565D">
        <w:rPr>
          <w:rFonts w:ascii="Times New Roman" w:hAnsi="Times New Roman"/>
          <w:sz w:val="28"/>
          <w:szCs w:val="28"/>
        </w:rPr>
        <w:t xml:space="preserve"> 2 статьи 7 Закона о защите конкуренции установлено, что цена не п</w:t>
      </w:r>
      <w:r>
        <w:rPr>
          <w:rFonts w:ascii="Times New Roman" w:hAnsi="Times New Roman"/>
          <w:sz w:val="28"/>
          <w:szCs w:val="28"/>
        </w:rPr>
        <w:t>ризнается монопольно низкой ценой</w:t>
      </w:r>
      <w:r w:rsidRPr="0068565D">
        <w:rPr>
          <w:rFonts w:ascii="Times New Roman" w:hAnsi="Times New Roman"/>
          <w:sz w:val="28"/>
          <w:szCs w:val="28"/>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lastRenderedPageBreak/>
        <w:t>Поэтому 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метода. </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При применении метода 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непосредственно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Установление наличия сопоставимого конкурентного рынка осуществляется</w:t>
      </w:r>
      <w:r>
        <w:rPr>
          <w:rFonts w:ascii="Times New Roman" w:hAnsi="Times New Roman"/>
          <w:sz w:val="28"/>
          <w:szCs w:val="28"/>
        </w:rPr>
        <w:t xml:space="preserve"> </w:t>
      </w:r>
      <w:r w:rsidRPr="0068565D">
        <w:rPr>
          <w:rFonts w:ascii="Times New Roman" w:hAnsi="Times New Roman"/>
          <w:sz w:val="28"/>
          <w:szCs w:val="28"/>
        </w:rPr>
        <w:t xml:space="preserve">антимонопольным органом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rPr>
      </w:pPr>
      <w:r w:rsidRPr="0068565D">
        <w:rPr>
          <w:rFonts w:ascii="Times New Roman" w:hAnsi="Times New Roman"/>
          <w:i/>
          <w:sz w:val="28"/>
          <w:szCs w:val="28"/>
        </w:rPr>
        <w:t xml:space="preserve">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 превышала цену, установленную в других сопоставимых аэропортах с аэропортом «Южно-Сахалинск», а также цена авиационного керосина, установленная ЗАО «ТОК»,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использованы одновременного два метода определения монопольно высокой цены, предусмотренных </w:t>
      </w:r>
      <w:hyperlink r:id="rId8" w:history="1">
        <w:r w:rsidRPr="0068565D">
          <w:rPr>
            <w:rStyle w:val="a8"/>
            <w:rFonts w:ascii="Times New Roman" w:hAnsi="Times New Roman"/>
            <w:i/>
            <w:sz w:val="28"/>
            <w:szCs w:val="28"/>
          </w:rPr>
          <w:t>статьей 6</w:t>
        </w:r>
      </w:hyperlink>
      <w:r w:rsidRPr="0068565D">
        <w:rPr>
          <w:rFonts w:ascii="Times New Roman" w:hAnsi="Times New Roman"/>
          <w:i/>
          <w:sz w:val="28"/>
          <w:szCs w:val="28"/>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rPr>
      </w:pPr>
      <w:r w:rsidRPr="0068565D">
        <w:rPr>
          <w:rFonts w:ascii="Times New Roman" w:hAnsi="Times New Roman"/>
          <w:i/>
          <w:sz w:val="28"/>
          <w:szCs w:val="28"/>
        </w:rPr>
        <w:lastRenderedPageBreak/>
        <w:t xml:space="preserve">В частности, выводы антимонопольного органа о превышении цены на авиационный керосин основаны на представленных </w:t>
      </w:r>
      <w:proofErr w:type="spellStart"/>
      <w:r w:rsidRPr="0068565D">
        <w:rPr>
          <w:rFonts w:ascii="Times New Roman" w:hAnsi="Times New Roman"/>
          <w:i/>
          <w:sz w:val="28"/>
          <w:szCs w:val="28"/>
        </w:rPr>
        <w:t>Росавиацией</w:t>
      </w:r>
      <w:proofErr w:type="spellEnd"/>
      <w:r w:rsidRPr="0068565D">
        <w:rPr>
          <w:rFonts w:ascii="Times New Roman" w:hAnsi="Times New Roman"/>
          <w:i/>
          <w:sz w:val="28"/>
          <w:szCs w:val="28"/>
        </w:rPr>
        <w:t xml:space="preserve">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rPr>
      </w:pPr>
    </w:p>
    <w:p w:rsidR="0064464E" w:rsidRPr="0068565D" w:rsidRDefault="0064464E" w:rsidP="0064464E">
      <w:pPr>
        <w:spacing w:after="0" w:line="240" w:lineRule="auto"/>
        <w:jc w:val="center"/>
        <w:rPr>
          <w:rFonts w:ascii="Times New Roman" w:hAnsi="Times New Roman"/>
          <w:b/>
          <w:sz w:val="28"/>
          <w:szCs w:val="28"/>
        </w:rPr>
      </w:pPr>
      <w:bookmarkStart w:id="2" w:name="bookmark3"/>
      <w:r w:rsidRPr="0068565D">
        <w:rPr>
          <w:rFonts w:ascii="Times New Roman" w:hAnsi="Times New Roman"/>
          <w:b/>
          <w:sz w:val="28"/>
          <w:szCs w:val="28"/>
        </w:rPr>
        <w:t xml:space="preserve">Затратный </w:t>
      </w:r>
      <w:bookmarkEnd w:id="2"/>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rPr>
      </w:pP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использовании затратного</w:t>
      </w:r>
      <w:r>
        <w:rPr>
          <w:rFonts w:ascii="Times New Roman" w:hAnsi="Times New Roman"/>
          <w:sz w:val="28"/>
          <w:szCs w:val="28"/>
        </w:rPr>
        <w:t xml:space="preserve"> </w:t>
      </w:r>
      <w:r w:rsidRPr="001375B6">
        <w:rPr>
          <w:rFonts w:ascii="Times New Roman" w:hAnsi="Times New Roman"/>
          <w:sz w:val="28"/>
          <w:szCs w:val="28"/>
        </w:rPr>
        <w:t>метода</w:t>
      </w:r>
      <w:r w:rsidRPr="0068565D">
        <w:rPr>
          <w:rFonts w:ascii="Times New Roman" w:hAnsi="Times New Roman"/>
          <w:sz w:val="28"/>
          <w:szCs w:val="28"/>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rPr>
      </w:pPr>
      <w:r>
        <w:rPr>
          <w:rFonts w:ascii="Times New Roman" w:hAnsi="Times New Roman"/>
          <w:sz w:val="28"/>
          <w:szCs w:val="28"/>
        </w:rPr>
        <w:t>прибыль хозяйствующего субъекта</w:t>
      </w:r>
      <w:r w:rsidRPr="0068565D">
        <w:rPr>
          <w:rFonts w:ascii="Times New Roman" w:hAnsi="Times New Roman"/>
          <w:sz w:val="28"/>
          <w:szCs w:val="28"/>
        </w:rPr>
        <w:t xml:space="preserve"> от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 для тех рынков,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 рамках  исследования обстоятельств установления монопольно высокой или монопольно низкой цены товара (работы, услуги) антимонопольный орган может оценивать обоснованность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Следует отметить, что каждый товарный рын</w:t>
      </w:r>
      <w:r>
        <w:rPr>
          <w:rFonts w:ascii="Times New Roman" w:hAnsi="Times New Roman"/>
          <w:sz w:val="28"/>
          <w:szCs w:val="28"/>
        </w:rPr>
        <w:t xml:space="preserve">ок может иметь ряд особенностей, </w:t>
      </w:r>
      <w:r w:rsidRPr="0068565D">
        <w:rPr>
          <w:rFonts w:ascii="Times New Roman" w:hAnsi="Times New Roman"/>
          <w:sz w:val="28"/>
          <w:szCs w:val="28"/>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применяться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Так, например, краткосрочное увеличение хозяйствующим субъектом, занимающим доминирующее положение, цены на товар, обусловленное </w:t>
      </w:r>
      <w:r w:rsidRPr="0068565D">
        <w:rPr>
          <w:rFonts w:ascii="Times New Roman" w:hAnsi="Times New Roman"/>
          <w:sz w:val="28"/>
          <w:szCs w:val="28"/>
        </w:rPr>
        <w:lastRenderedPageBreak/>
        <w:t>резким увеличением спроса на такой товар, не может быть квалифицировано как установление монопольно высокой цены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оказывать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 каждом конкретном случае антимонопольный орган исследует перечень затрат хозяйствующего субъекта в отношении рассматриваемого товара (работы, услуги), в том числе амортизационные отчисления. Так, например, 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rPr>
      </w:pPr>
      <w:r w:rsidRPr="007B4B65">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rPr>
      </w:pPr>
      <w:r w:rsidRPr="0068565D">
        <w:rPr>
          <w:rFonts w:ascii="Times New Roman" w:hAnsi="Times New Roman"/>
          <w:i/>
          <w:sz w:val="28"/>
          <w:szCs w:val="28"/>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rPr>
        <w:t>не связанные</w:t>
      </w:r>
      <w:r w:rsidRPr="0068565D">
        <w:rPr>
          <w:rFonts w:ascii="Times New Roman" w:hAnsi="Times New Roman"/>
          <w:i/>
          <w:sz w:val="28"/>
          <w:szCs w:val="28"/>
        </w:rPr>
        <w:t xml:space="preserve"> с отгрузкой зерна интервенционного фонда; имеется </w:t>
      </w:r>
      <w:r w:rsidRPr="0068565D">
        <w:rPr>
          <w:rFonts w:ascii="Times New Roman" w:hAnsi="Times New Roman"/>
          <w:i/>
          <w:sz w:val="28"/>
          <w:szCs w:val="28"/>
          <w:u w:val="single"/>
        </w:rPr>
        <w:t>несоответствие фактических затрат</w:t>
      </w:r>
      <w:r w:rsidRPr="0068565D">
        <w:rPr>
          <w:rFonts w:ascii="Times New Roman" w:hAnsi="Times New Roman"/>
          <w:i/>
          <w:sz w:val="28"/>
          <w:szCs w:val="28"/>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rPr>
        <w:t>несоответствие их данным первичных документов</w:t>
      </w:r>
      <w:r w:rsidRPr="0068565D">
        <w:rPr>
          <w:rFonts w:ascii="Times New Roman" w:hAnsi="Times New Roman"/>
          <w:i/>
          <w:sz w:val="28"/>
          <w:szCs w:val="28"/>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lastRenderedPageBreak/>
        <w:t>Таким образом, суд применяя на практике затратный метод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 (для тех рынков,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i/>
          <w:sz w:val="28"/>
          <w:szCs w:val="28"/>
        </w:rPr>
        <w:t xml:space="preserve">Так, Федеральный арбитражный суд Дальневосточного округа в постановлении по делу № А51-6988/2012, согласился с выводами антимонопольного органа об установлении монопольно высокой цены на услуги по </w:t>
      </w:r>
      <w:proofErr w:type="spellStart"/>
      <w:r w:rsidRPr="0068565D">
        <w:rPr>
          <w:rFonts w:ascii="Times New Roman" w:hAnsi="Times New Roman"/>
          <w:i/>
          <w:sz w:val="28"/>
          <w:szCs w:val="28"/>
        </w:rPr>
        <w:t>топливообеспечению</w:t>
      </w:r>
      <w:proofErr w:type="spellEnd"/>
      <w:r w:rsidRPr="0068565D">
        <w:rPr>
          <w:rFonts w:ascii="Times New Roman" w:hAnsi="Times New Roman"/>
          <w:i/>
          <w:sz w:val="28"/>
          <w:szCs w:val="28"/>
        </w:rPr>
        <w:t xml:space="preserve">, указывавшими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w:t>
      </w:r>
      <w:proofErr w:type="spellStart"/>
      <w:r w:rsidRPr="0068565D">
        <w:rPr>
          <w:rFonts w:ascii="Times New Roman" w:hAnsi="Times New Roman"/>
          <w:i/>
          <w:sz w:val="28"/>
          <w:szCs w:val="28"/>
        </w:rPr>
        <w:t>АвиаГСМ</w:t>
      </w:r>
      <w:proofErr w:type="spellEnd"/>
      <w:r w:rsidRPr="0068565D">
        <w:rPr>
          <w:rFonts w:ascii="Times New Roman" w:hAnsi="Times New Roman"/>
          <w:i/>
          <w:sz w:val="28"/>
          <w:szCs w:val="28"/>
        </w:rPr>
        <w:t xml:space="preserve">» в спорный период превышала предельный уровень рентабельности, установленный нормативными актами). </w:t>
      </w:r>
      <w:r w:rsidRPr="0068565D">
        <w:rPr>
          <w:rFonts w:ascii="Times New Roman" w:hAnsi="Times New Roman"/>
          <w:sz w:val="28"/>
          <w:szCs w:val="28"/>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Так, исходя из положений статьи 6 Закона о защите конкуренции, монопольно высокая цена может быть установлена в том числе:</w:t>
      </w:r>
    </w:p>
    <w:p w:rsidR="0064464E" w:rsidRPr="0068565D" w:rsidRDefault="0064464E" w:rsidP="0064464E">
      <w:pPr>
        <w:numPr>
          <w:ilvl w:val="1"/>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а)</w:t>
      </w:r>
      <w:r w:rsidRPr="0068565D">
        <w:rPr>
          <w:rFonts w:ascii="Times New Roman" w:hAnsi="Times New Roman"/>
          <w:sz w:val="28"/>
          <w:szCs w:val="28"/>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б)</w:t>
      </w:r>
      <w:r w:rsidRPr="0068565D">
        <w:rPr>
          <w:rFonts w:ascii="Times New Roman" w:hAnsi="Times New Roman"/>
          <w:sz w:val="28"/>
          <w:szCs w:val="28"/>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w:t>
      </w:r>
      <w:r w:rsidRPr="0068565D">
        <w:rPr>
          <w:rFonts w:ascii="Times New Roman" w:hAnsi="Times New Roman"/>
          <w:sz w:val="28"/>
          <w:szCs w:val="28"/>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а)</w:t>
      </w:r>
      <w:r w:rsidRPr="0068565D">
        <w:rPr>
          <w:rFonts w:ascii="Times New Roman" w:hAnsi="Times New Roman"/>
          <w:sz w:val="28"/>
          <w:szCs w:val="28"/>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б)</w:t>
      </w:r>
      <w:r w:rsidRPr="0068565D">
        <w:rPr>
          <w:rFonts w:ascii="Times New Roman" w:hAnsi="Times New Roman"/>
          <w:sz w:val="28"/>
          <w:szCs w:val="28"/>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w:t>
      </w:r>
      <w:r w:rsidRPr="0068565D">
        <w:rPr>
          <w:rFonts w:ascii="Times New Roman" w:hAnsi="Times New Roman"/>
          <w:sz w:val="28"/>
          <w:szCs w:val="28"/>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lastRenderedPageBreak/>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а)</w:t>
      </w:r>
      <w:r w:rsidRPr="0068565D">
        <w:rPr>
          <w:rFonts w:ascii="Times New Roman" w:hAnsi="Times New Roman"/>
          <w:sz w:val="28"/>
          <w:szCs w:val="28"/>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б)</w:t>
      </w:r>
      <w:r w:rsidRPr="0068565D">
        <w:rPr>
          <w:rFonts w:ascii="Times New Roman" w:hAnsi="Times New Roman"/>
          <w:sz w:val="28"/>
          <w:szCs w:val="28"/>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w:t>
      </w:r>
      <w:r w:rsidRPr="0068565D">
        <w:rPr>
          <w:rFonts w:ascii="Times New Roman" w:hAnsi="Times New Roman"/>
          <w:sz w:val="28"/>
          <w:szCs w:val="28"/>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rPr>
      </w:pPr>
    </w:p>
    <w:p w:rsidR="0064464E" w:rsidRPr="0068565D" w:rsidRDefault="0064464E" w:rsidP="0064464E">
      <w:pPr>
        <w:spacing w:after="0" w:line="240" w:lineRule="auto"/>
        <w:jc w:val="center"/>
        <w:rPr>
          <w:rFonts w:ascii="Times New Roman" w:hAnsi="Times New Roman"/>
          <w:b/>
          <w:sz w:val="28"/>
          <w:szCs w:val="28"/>
        </w:rPr>
      </w:pPr>
      <w:r w:rsidRPr="0068565D">
        <w:rPr>
          <w:rFonts w:ascii="Times New Roman" w:hAnsi="Times New Roman"/>
          <w:b/>
          <w:sz w:val="28"/>
          <w:szCs w:val="28"/>
        </w:rPr>
        <w:t>Исключения</w:t>
      </w:r>
    </w:p>
    <w:p w:rsidR="0064464E" w:rsidRPr="0068565D" w:rsidRDefault="0064464E" w:rsidP="0064464E">
      <w:pPr>
        <w:spacing w:after="0" w:line="240" w:lineRule="auto"/>
        <w:ind w:firstLine="709"/>
        <w:jc w:val="both"/>
        <w:rPr>
          <w:rFonts w:ascii="Times New Roman" w:hAnsi="Times New Roman"/>
          <w:sz w:val="28"/>
          <w:szCs w:val="28"/>
        </w:rPr>
      </w:pP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Закон о защите конкуренции не позволяет признат</w:t>
      </w:r>
      <w:r>
        <w:rPr>
          <w:rFonts w:ascii="Times New Roman" w:hAnsi="Times New Roman"/>
          <w:sz w:val="28"/>
          <w:szCs w:val="28"/>
        </w:rPr>
        <w:t>ь монопольно высокой цену товара</w:t>
      </w:r>
      <w:r w:rsidRPr="0068565D">
        <w:rPr>
          <w:rFonts w:ascii="Times New Roman" w:hAnsi="Times New Roman"/>
          <w:sz w:val="28"/>
          <w:szCs w:val="28"/>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если такая цена установлена субъектом естественной монополии в пределах тарифа на такой товар (часть 3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rPr>
      </w:pPr>
      <w:proofErr w:type="spellStart"/>
      <w:r w:rsidRPr="0068565D">
        <w:rPr>
          <w:rFonts w:ascii="Times New Roman" w:hAnsi="Times New Roman"/>
          <w:sz w:val="28"/>
          <w:szCs w:val="28"/>
        </w:rPr>
        <w:t>непревышения</w:t>
      </w:r>
      <w:proofErr w:type="spellEnd"/>
      <w:r w:rsidRPr="0068565D">
        <w:rPr>
          <w:rFonts w:ascii="Times New Roman" w:hAnsi="Times New Roman"/>
          <w:sz w:val="28"/>
          <w:szCs w:val="28"/>
        </w:rPr>
        <w:t xml:space="preserve"> цены, которая сформировалась в условиях конкуренции на сопоставимом товарном рынке (часть 4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rPr>
        <w:t>признает монопольно низкой цену</w:t>
      </w:r>
      <w:r w:rsidRPr="0068565D">
        <w:rPr>
          <w:rFonts w:ascii="Times New Roman" w:hAnsi="Times New Roman"/>
          <w:sz w:val="28"/>
          <w:szCs w:val="28"/>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 Закона о защите конкуренции);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lastRenderedPageBreak/>
        <w:t>она не ниже цены, которая сформировалась в условиях конкуренции на сопоставимом товарном рынке (пункт 2 части 2 статьи 7 Закона о защите конкуренции);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 Закона о защите конкуренции). </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Кроме того, исходя из положений части 2 статьи 6 и части 1 статьи 13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rPr>
        <w:t>1</w:t>
      </w:r>
      <w:r w:rsidRPr="0068565D">
        <w:rPr>
          <w:rFonts w:ascii="Times New Roman" w:hAnsi="Times New Roman"/>
          <w:sz w:val="28"/>
          <w:szCs w:val="28"/>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 xml:space="preserve">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w:t>
      </w:r>
      <w:r w:rsidRPr="007F49C6">
        <w:rPr>
          <w:rFonts w:ascii="Times New Roman" w:hAnsi="Times New Roman"/>
          <w:sz w:val="28"/>
          <w:szCs w:val="28"/>
        </w:rPr>
        <w:lastRenderedPageBreak/>
        <w:t>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w:t>
      </w:r>
      <w:r>
        <w:rPr>
          <w:rFonts w:ascii="Times New Roman" w:hAnsi="Times New Roman"/>
          <w:sz w:val="28"/>
          <w:szCs w:val="28"/>
        </w:rPr>
        <w:t xml:space="preserve"> </w:t>
      </w:r>
      <w:r w:rsidRPr="003C7BB2">
        <w:rPr>
          <w:rFonts w:ascii="Times New Roman" w:hAnsi="Times New Roman"/>
          <w:sz w:val="28"/>
          <w:szCs w:val="28"/>
        </w:rPr>
        <w:t>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r w:rsidRPr="003C7BB2">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w:t>
      </w:r>
      <w:r w:rsidRPr="004D7F6B">
        <w:rPr>
          <w:rFonts w:ascii="Times New Roman" w:hAnsi="Times New Roman"/>
          <w:sz w:val="28"/>
          <w:szCs w:val="28"/>
        </w:rPr>
        <w:lastRenderedPageBreak/>
        <w:t>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lastRenderedPageBreak/>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 xml:space="preserve">В тоже время в качестве допустимых «вертикальных» соглашений могут быть признаны дилерские соглашения между  </w:t>
      </w:r>
      <w:proofErr w:type="spellStart"/>
      <w:r>
        <w:t>автопроизводителями</w:t>
      </w:r>
      <w:proofErr w:type="spellEnd"/>
      <w:r>
        <w:t>/</w:t>
      </w:r>
      <w:proofErr w:type="spellStart"/>
      <w:r>
        <w:t>автодистрибьюторами</w:t>
      </w:r>
      <w:proofErr w:type="spellEnd"/>
      <w:r>
        <w:t xml:space="preserve">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w:t>
      </w:r>
      <w:proofErr w:type="spellStart"/>
      <w:r w:rsidRPr="00CC442C">
        <w:t>автопроизводителями</w:t>
      </w:r>
      <w:proofErr w:type="spellEnd"/>
      <w:r w:rsidRPr="00CC442C">
        <w:t>/</w:t>
      </w:r>
      <w:proofErr w:type="spellStart"/>
      <w:r w:rsidRPr="00CC442C">
        <w:t>автодистрибьюторами</w:t>
      </w:r>
      <w:proofErr w:type="spellEnd"/>
      <w:r w:rsidRPr="00CC442C">
        <w:t>,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w:t>
      </w:r>
      <w:r>
        <w:rPr>
          <w:rFonts w:ascii="Times New Roman" w:hAnsi="Times New Roman"/>
          <w:sz w:val="28"/>
          <w:szCs w:val="28"/>
        </w:rPr>
        <w:t xml:space="preserve"> </w:t>
      </w:r>
      <w:r w:rsidRPr="00CC442C">
        <w:rPr>
          <w:rFonts w:ascii="Times New Roman" w:hAnsi="Times New Roman"/>
          <w:sz w:val="28"/>
          <w:szCs w:val="28"/>
        </w:rPr>
        <w:t>для официальных дилеров</w:t>
      </w:r>
      <w:r>
        <w:rPr>
          <w:rFonts w:ascii="Times New Roman" w:hAnsi="Times New Roman"/>
          <w:sz w:val="28"/>
          <w:szCs w:val="28"/>
        </w:rPr>
        <w:t xml:space="preserve"> </w:t>
      </w:r>
      <w:r w:rsidRPr="00CC442C">
        <w:rPr>
          <w:rFonts w:ascii="Times New Roman" w:hAnsi="Times New Roman"/>
          <w:sz w:val="28"/>
          <w:szCs w:val="28"/>
        </w:rPr>
        <w:lastRenderedPageBreak/>
        <w:t>фиксированные</w:t>
      </w:r>
      <w:r>
        <w:rPr>
          <w:rFonts w:ascii="Times New Roman" w:hAnsi="Times New Roman"/>
          <w:sz w:val="28"/>
          <w:szCs w:val="28"/>
        </w:rPr>
        <w:t xml:space="preserve"> </w:t>
      </w:r>
      <w:r w:rsidRPr="00CC442C">
        <w:rPr>
          <w:rFonts w:ascii="Times New Roman" w:hAnsi="Times New Roman"/>
          <w:sz w:val="28"/>
          <w:szCs w:val="28"/>
        </w:rPr>
        <w:t>цены</w:t>
      </w:r>
      <w:r>
        <w:rPr>
          <w:rFonts w:ascii="Times New Roman" w:hAnsi="Times New Roman"/>
          <w:sz w:val="28"/>
          <w:szCs w:val="28"/>
        </w:rPr>
        <w:t xml:space="preserve"> </w:t>
      </w:r>
      <w:r w:rsidRPr="00CC442C">
        <w:rPr>
          <w:rFonts w:ascii="Times New Roman" w:hAnsi="Times New Roman"/>
          <w:sz w:val="28"/>
          <w:szCs w:val="28"/>
        </w:rPr>
        <w:t>перепродажи на реализуемую</w:t>
      </w:r>
      <w:r>
        <w:rPr>
          <w:rFonts w:ascii="Times New Roman" w:hAnsi="Times New Roman"/>
          <w:sz w:val="28"/>
          <w:szCs w:val="28"/>
        </w:rPr>
        <w:t xml:space="preserve"> </w:t>
      </w:r>
      <w:r w:rsidRPr="00CC442C">
        <w:rPr>
          <w:rFonts w:ascii="Times New Roman" w:hAnsi="Times New Roman"/>
          <w:sz w:val="28"/>
          <w:szCs w:val="28"/>
        </w:rPr>
        <w:t>автомобильную</w:t>
      </w:r>
      <w:r>
        <w:rPr>
          <w:rFonts w:ascii="Times New Roman" w:hAnsi="Times New Roman"/>
          <w:sz w:val="28"/>
          <w:szCs w:val="28"/>
        </w:rPr>
        <w:t xml:space="preserve"> </w:t>
      </w:r>
      <w:r w:rsidRPr="00CC442C">
        <w:rPr>
          <w:rFonts w:ascii="Times New Roman" w:hAnsi="Times New Roman"/>
          <w:sz w:val="28"/>
          <w:szCs w:val="28"/>
        </w:rPr>
        <w:t>продукцию, а также стоимость</w:t>
      </w:r>
      <w:r>
        <w:rPr>
          <w:rFonts w:ascii="Times New Roman" w:hAnsi="Times New Roman"/>
          <w:sz w:val="28"/>
          <w:szCs w:val="28"/>
        </w:rPr>
        <w:t xml:space="preserve"> </w:t>
      </w:r>
      <w:r w:rsidRPr="00CC442C">
        <w:rPr>
          <w:rFonts w:ascii="Times New Roman" w:hAnsi="Times New Roman"/>
          <w:sz w:val="28"/>
          <w:szCs w:val="28"/>
        </w:rPr>
        <w:t>нормо-часа при выполнении</w:t>
      </w:r>
      <w:r>
        <w:rPr>
          <w:rFonts w:ascii="Times New Roman" w:hAnsi="Times New Roman"/>
          <w:sz w:val="28"/>
          <w:szCs w:val="28"/>
        </w:rPr>
        <w:t xml:space="preserve"> </w:t>
      </w:r>
      <w:proofErr w:type="spellStart"/>
      <w:r w:rsidRPr="00CC442C">
        <w:rPr>
          <w:rFonts w:ascii="Times New Roman" w:hAnsi="Times New Roman"/>
          <w:sz w:val="28"/>
          <w:szCs w:val="28"/>
        </w:rPr>
        <w:t>негарантийного</w:t>
      </w:r>
      <w:proofErr w:type="spellEnd"/>
      <w:r w:rsidRPr="00CC442C">
        <w:rPr>
          <w:rFonts w:ascii="Times New Roman" w:hAnsi="Times New Roman"/>
          <w:sz w:val="28"/>
          <w:szCs w:val="28"/>
        </w:rPr>
        <w:t xml:space="preserve"> ремонта. Исключением</w:t>
      </w:r>
      <w:r>
        <w:rPr>
          <w:rFonts w:ascii="Times New Roman" w:hAnsi="Times New Roman"/>
          <w:sz w:val="28"/>
          <w:szCs w:val="28"/>
        </w:rPr>
        <w:t xml:space="preserve"> </w:t>
      </w:r>
      <w:r w:rsidRPr="00CC442C">
        <w:rPr>
          <w:rFonts w:ascii="Times New Roman" w:hAnsi="Times New Roman"/>
          <w:sz w:val="28"/>
          <w:szCs w:val="28"/>
        </w:rPr>
        <w:t>являются</w:t>
      </w:r>
      <w:r>
        <w:rPr>
          <w:rFonts w:ascii="Times New Roman" w:hAnsi="Times New Roman"/>
          <w:sz w:val="28"/>
          <w:szCs w:val="28"/>
        </w:rPr>
        <w:t xml:space="preserve"> </w:t>
      </w:r>
      <w:r w:rsidRPr="00CC442C">
        <w:rPr>
          <w:rFonts w:ascii="Times New Roman" w:hAnsi="Times New Roman"/>
          <w:sz w:val="28"/>
          <w:szCs w:val="28"/>
        </w:rPr>
        <w:t>лишь случаи</w:t>
      </w:r>
      <w:r>
        <w:rPr>
          <w:rFonts w:ascii="Times New Roman" w:hAnsi="Times New Roman"/>
          <w:sz w:val="28"/>
          <w:szCs w:val="28"/>
        </w:rPr>
        <w:t xml:space="preserve"> </w:t>
      </w:r>
      <w:r w:rsidRPr="00CC442C">
        <w:rPr>
          <w:rFonts w:ascii="Times New Roman" w:hAnsi="Times New Roman"/>
          <w:sz w:val="28"/>
          <w:szCs w:val="28"/>
        </w:rPr>
        <w:t>установления максимальных цен</w:t>
      </w:r>
      <w:r>
        <w:rPr>
          <w:rFonts w:ascii="Times New Roman" w:hAnsi="Times New Roman"/>
          <w:sz w:val="28"/>
          <w:szCs w:val="28"/>
        </w:rPr>
        <w:t xml:space="preserve"> </w:t>
      </w:r>
      <w:r w:rsidRPr="00CC442C">
        <w:rPr>
          <w:rFonts w:ascii="Times New Roman" w:hAnsi="Times New Roman"/>
          <w:sz w:val="28"/>
          <w:szCs w:val="28"/>
        </w:rPr>
        <w:t>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В соответствии с Законом о защите конкуренции одинаково недопустимыми являются как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так и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 xml:space="preserve">При этом,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lastRenderedPageBreak/>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3" w:name="Par0"/>
      <w:bookmarkEnd w:id="3"/>
      <w:r w:rsidRPr="00B65DDA">
        <w:rPr>
          <w:rFonts w:ascii="Times New Roman" w:hAnsi="Times New Roman"/>
          <w:sz w:val="28"/>
          <w:szCs w:val="28"/>
          <w:lang w:eastAsia="ru-RU"/>
        </w:rPr>
        <w:t xml:space="preserve">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w:t>
      </w:r>
      <w:proofErr w:type="gramStart"/>
      <w:r w:rsidRPr="00B65DDA">
        <w:rPr>
          <w:rFonts w:ascii="Times New Roman" w:hAnsi="Times New Roman"/>
          <w:sz w:val="28"/>
          <w:szCs w:val="28"/>
          <w:lang w:eastAsia="ru-RU"/>
        </w:rPr>
        <w:t>к</w:t>
      </w:r>
      <w:proofErr w:type="gramEnd"/>
      <w:r w:rsidRPr="00B65DDA">
        <w:rPr>
          <w:rFonts w:ascii="Times New Roman" w:hAnsi="Times New Roman"/>
          <w:sz w:val="28"/>
          <w:szCs w:val="28"/>
          <w:lang w:eastAsia="ru-RU"/>
        </w:rPr>
        <w:t>:</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4" w:name="Par6"/>
      <w:bookmarkEnd w:id="4"/>
      <w:r w:rsidRPr="00B65DDA">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9"/>
      <w:bookmarkEnd w:id="5"/>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10"/>
      <w:bookmarkEnd w:id="6"/>
      <w:r w:rsidRPr="00B65DDA">
        <w:rPr>
          <w:rFonts w:ascii="Times New Roman" w:hAnsi="Times New Roman"/>
          <w:sz w:val="28"/>
          <w:szCs w:val="28"/>
          <w:lang w:eastAsia="ru-RU"/>
        </w:rPr>
        <w:t xml:space="preserve">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w:t>
      </w:r>
      <w:r w:rsidRPr="00B65DDA">
        <w:rPr>
          <w:rFonts w:ascii="Times New Roman" w:hAnsi="Times New Roman"/>
          <w:sz w:val="28"/>
          <w:szCs w:val="28"/>
          <w:lang w:eastAsia="ru-RU"/>
        </w:rPr>
        <w:lastRenderedPageBreak/>
        <w:t>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w:t>
      </w:r>
      <w:proofErr w:type="gramEnd"/>
      <w:r w:rsidRPr="00B65DDA">
        <w:rPr>
          <w:rFonts w:ascii="Times New Roman" w:hAnsi="Times New Roman"/>
          <w:sz w:val="28"/>
          <w:szCs w:val="28"/>
          <w:lang w:eastAsia="ru-RU"/>
        </w:rPr>
        <w:t xml:space="preserve">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7" w:name="Par7"/>
      <w:bookmarkEnd w:id="7"/>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w:t>
      </w:r>
      <w:r w:rsidRPr="00B65DDA">
        <w:rPr>
          <w:rFonts w:ascii="Times New Roman" w:hAnsi="Times New Roman"/>
          <w:sz w:val="28"/>
          <w:szCs w:val="28"/>
        </w:rPr>
        <w:lastRenderedPageBreak/>
        <w:t>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w:t>
      </w:r>
      <w:proofErr w:type="gramStart"/>
      <w:r w:rsidRPr="00B65DDA">
        <w:rPr>
          <w:rFonts w:ascii="Times New Roman" w:hAnsi="Times New Roman"/>
          <w:sz w:val="28"/>
          <w:szCs w:val="28"/>
        </w:rPr>
        <w:t>кт впр</w:t>
      </w:r>
      <w:proofErr w:type="gramEnd"/>
      <w:r w:rsidRPr="00B65DDA">
        <w:rPr>
          <w:rFonts w:ascii="Times New Roman" w:hAnsi="Times New Roman"/>
          <w:sz w:val="28"/>
          <w:szCs w:val="28"/>
        </w:rPr>
        <w:t>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При доказывании </w:t>
      </w:r>
      <w:proofErr w:type="spellStart"/>
      <w:r w:rsidRPr="00B65DDA">
        <w:rPr>
          <w:rFonts w:ascii="Times New Roman" w:hAnsi="Times New Roman"/>
          <w:sz w:val="28"/>
          <w:szCs w:val="28"/>
        </w:rPr>
        <w:t>антиконкурентных</w:t>
      </w:r>
      <w:proofErr w:type="spellEnd"/>
      <w:r w:rsidRPr="00B65DDA">
        <w:rPr>
          <w:rFonts w:ascii="Times New Roman" w:hAnsi="Times New Roman"/>
          <w:sz w:val="28"/>
          <w:szCs w:val="28"/>
        </w:rPr>
        <w:t xml:space="preserve">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При доказывании совершения незаконных действий, к которым относятся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lastRenderedPageBreak/>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 xml:space="preserve">Особенностью проверок на предмет соблюдения требований о запрете </w:t>
      </w:r>
      <w:proofErr w:type="spellStart"/>
      <w:r w:rsidRPr="00B65DDA">
        <w:rPr>
          <w:rFonts w:ascii="Times New Roman" w:hAnsi="Times New Roman"/>
          <w:sz w:val="28"/>
          <w:szCs w:val="28"/>
        </w:rPr>
        <w:t>антиконкурентных</w:t>
      </w:r>
      <w:proofErr w:type="spellEnd"/>
      <w:r w:rsidRPr="00B65DDA">
        <w:rPr>
          <w:rFonts w:ascii="Times New Roman" w:hAnsi="Times New Roman"/>
          <w:sz w:val="28"/>
          <w:szCs w:val="28"/>
        </w:rPr>
        <w:t xml:space="preserve">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w:t>
      </w:r>
      <w:r w:rsidRPr="00B65DDA">
        <w:rPr>
          <w:rFonts w:ascii="Times New Roman" w:hAnsi="Times New Roman"/>
          <w:sz w:val="28"/>
          <w:szCs w:val="28"/>
        </w:rPr>
        <w:lastRenderedPageBreak/>
        <w:t>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roofErr w:type="spellStart"/>
      <w:r w:rsidRPr="00B65DDA">
        <w:rPr>
          <w:rFonts w:ascii="Times New Roman" w:hAnsi="Times New Roman"/>
          <w:sz w:val="28"/>
          <w:szCs w:val="28"/>
        </w:rPr>
        <w:t>Истребуемые</w:t>
      </w:r>
      <w:proofErr w:type="spellEnd"/>
      <w:r w:rsidRPr="00B65DDA">
        <w:rPr>
          <w:rFonts w:ascii="Times New Roman" w:hAnsi="Times New Roman"/>
          <w:sz w:val="28"/>
          <w:szCs w:val="28"/>
        </w:rPr>
        <w:t xml:space="preserve">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w:t>
      </w:r>
      <w:r>
        <w:rPr>
          <w:bCs/>
        </w:rPr>
        <w:lastRenderedPageBreak/>
        <w:t xml:space="preserve">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rPr>
          <w:bCs/>
        </w:rPr>
        <w:t xml:space="preserve"> </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9"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0" w:history="1"/>
      <w:r w:rsidRPr="0068558A">
        <w:t xml:space="preserve"> Закона о защите конкуренции для признания действий (соглашений, сделок) </w:t>
      </w:r>
      <w:proofErr w:type="gramStart"/>
      <w:r w:rsidRPr="0068558A">
        <w:t>допустимыми</w:t>
      </w:r>
      <w:proofErr w:type="gramEnd"/>
      <w:r w:rsidRPr="0068558A">
        <w:t xml:space="preserve">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lastRenderedPageBreak/>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1" w:history="1">
        <w:r w:rsidRPr="0068558A">
          <w:t>частями 2</w:t>
        </w:r>
      </w:hyperlink>
      <w:r w:rsidRPr="0068558A">
        <w:t xml:space="preserve"> - </w:t>
      </w:r>
      <w:hyperlink r:id="rId12"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3" w:history="1">
        <w:r w:rsidRPr="0068558A">
          <w:t>статьей 12</w:t>
        </w:r>
      </w:hyperlink>
      <w:r w:rsidRPr="0068558A">
        <w:t xml:space="preserve"> или с </w:t>
      </w:r>
      <w:hyperlink r:id="rId14" w:history="1">
        <w:r w:rsidRPr="0068558A">
          <w:t>частью 1 статьи 13</w:t>
        </w:r>
      </w:hyperlink>
      <w:r w:rsidRPr="0068558A">
        <w:t xml:space="preserve"> </w:t>
      </w:r>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w:t>
      </w:r>
      <w:r w:rsidRPr="0068558A">
        <w:lastRenderedPageBreak/>
        <w:t>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w:t>
      </w:r>
      <w:r w:rsidRPr="005C6A97">
        <w:lastRenderedPageBreak/>
        <w:t xml:space="preserve">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5" w:history="1">
        <w:r w:rsidRPr="005C6A97">
          <w:t>конкуренции</w:t>
        </w:r>
      </w:hyperlink>
      <w:r w:rsidRPr="005C6A97">
        <w:t xml:space="preserve">, а также злоупотребление </w:t>
      </w:r>
      <w:hyperlink r:id="rId16" w:history="1">
        <w:r w:rsidRPr="005C6A97">
          <w:t>доминирующим положением</w:t>
        </w:r>
      </w:hyperlink>
      <w:r w:rsidRPr="005C6A97">
        <w:t xml:space="preserve"> на рынке. </w:t>
      </w:r>
    </w:p>
    <w:p w:rsidR="005C629F" w:rsidRPr="005C6A97" w:rsidRDefault="00B850EE" w:rsidP="005C629F">
      <w:pPr>
        <w:pStyle w:val="ConsPlusNormal"/>
        <w:ind w:firstLine="709"/>
        <w:jc w:val="both"/>
      </w:pPr>
      <w:hyperlink r:id="rId17"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8" w:history="1">
        <w:r w:rsidRPr="005C6A97">
          <w:t>части 2 статьи 10</w:t>
        </w:r>
      </w:hyperlink>
      <w:r w:rsidRPr="005C6A97">
        <w:t xml:space="preserve">, </w:t>
      </w:r>
      <w:hyperlink r:id="rId19"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0"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1"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2"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3" w:history="1">
        <w:r w:rsidRPr="005C6A97">
          <w:t>(пункт 9 части 1)</w:t>
        </w:r>
      </w:hyperlink>
      <w:r w:rsidRPr="005C6A97">
        <w:t>;</w:t>
      </w:r>
    </w:p>
    <w:p w:rsidR="005C629F" w:rsidRPr="005C6A97" w:rsidRDefault="005C629F" w:rsidP="005C629F">
      <w:pPr>
        <w:pStyle w:val="ConsPlusNormal"/>
        <w:ind w:firstLine="709"/>
        <w:jc w:val="both"/>
      </w:pPr>
      <w:r w:rsidRPr="005C6A97">
        <w:lastRenderedPageBreak/>
        <w:t xml:space="preserve">- манипулирование ценами на оптовом и (или) розничных рынках электрической энергии (мощности) </w:t>
      </w:r>
      <w:hyperlink r:id="rId24"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sz w:val="28"/>
          <w:szCs w:val="28"/>
        </w:rPr>
        <w:t xml:space="preserve"> </w:t>
      </w:r>
      <w:r w:rsidRPr="005C6A97">
        <w:rPr>
          <w:rFonts w:ascii="Times New Roman" w:hAnsi="Times New Roman"/>
          <w:b/>
          <w:sz w:val="28"/>
          <w:szCs w:val="28"/>
        </w:rPr>
        <w:t xml:space="preserve">правилам недискриминационного доступа к услугам естественных </w:t>
      </w:r>
      <w:r w:rsidRPr="005C6A97">
        <w:rPr>
          <w:rFonts w:ascii="Times New Roman" w:hAnsi="Times New Roman"/>
          <w:b/>
          <w:sz w:val="28"/>
          <w:szCs w:val="28"/>
        </w:rPr>
        <w:lastRenderedPageBreak/>
        <w:t>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 Правила технологического присоединения </w:t>
      </w:r>
      <w:proofErr w:type="spellStart"/>
      <w:r w:rsidRPr="005C6A97">
        <w:rPr>
          <w:rFonts w:ascii="Times New Roman" w:hAnsi="Times New Roman"/>
          <w:sz w:val="28"/>
          <w:szCs w:val="28"/>
        </w:rPr>
        <w:t>энергопринимающих</w:t>
      </w:r>
      <w:proofErr w:type="spellEnd"/>
      <w:r w:rsidRPr="005C6A97">
        <w:rPr>
          <w:rFonts w:ascii="Times New Roman" w:hAnsi="Times New Roman"/>
          <w:sz w:val="28"/>
          <w:szCs w:val="28"/>
        </w:rPr>
        <w:t xml:space="preserve">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w:t>
      </w:r>
      <w:r w:rsidRPr="004C7586">
        <w:rPr>
          <w:rFonts w:ascii="Times New Roman" w:hAnsi="Times New Roman"/>
          <w:i/>
          <w:sz w:val="28"/>
          <w:szCs w:val="28"/>
        </w:rPr>
        <w:lastRenderedPageBreak/>
        <w:t>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lastRenderedPageBreak/>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w:t>
      </w:r>
      <w:r>
        <w:rPr>
          <w:rFonts w:ascii="Times New Roman" w:hAnsi="Times New Roman"/>
          <w:sz w:val="28"/>
          <w:szCs w:val="28"/>
        </w:rPr>
        <w:lastRenderedPageBreak/>
        <w:t>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sz w:val="28"/>
          <w:szCs w:val="28"/>
        </w:rPr>
        <w:t xml:space="preserve"> </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sz w:val="28"/>
          <w:szCs w:val="28"/>
        </w:rPr>
        <w:t xml:space="preserve"> </w:t>
      </w:r>
      <w:r w:rsidRPr="00B043CB">
        <w:rPr>
          <w:rFonts w:ascii="Times New Roman" w:hAnsi="Times New Roman"/>
          <w:sz w:val="28"/>
          <w:szCs w:val="28"/>
        </w:rPr>
        <w:t xml:space="preserve">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lastRenderedPageBreak/>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sz w:val="28"/>
          <w:szCs w:val="28"/>
        </w:rPr>
        <w:t xml:space="preserve"> </w:t>
      </w:r>
      <w:r w:rsidRPr="005C6A97">
        <w:rPr>
          <w:rFonts w:ascii="Times New Roman" w:hAnsi="Times New Roman"/>
          <w:sz w:val="28"/>
          <w:szCs w:val="28"/>
        </w:rPr>
        <w:t>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5"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w:t>
      </w:r>
      <w:r>
        <w:rPr>
          <w:rFonts w:ascii="Times New Roman" w:hAnsi="Times New Roman" w:cs="Times New Roman"/>
          <w:sz w:val="28"/>
          <w:szCs w:val="28"/>
        </w:rPr>
        <w:lastRenderedPageBreak/>
        <w:t>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6"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w:t>
      </w:r>
      <w:proofErr w:type="spellStart"/>
      <w:r>
        <w:rPr>
          <w:rFonts w:ascii="Times New Roman" w:hAnsi="Times New Roman" w:cs="Times New Roman"/>
          <w:sz w:val="28"/>
          <w:szCs w:val="28"/>
        </w:rPr>
        <w:t>теплосетевой</w:t>
      </w:r>
      <w:proofErr w:type="spellEnd"/>
      <w:r>
        <w:rPr>
          <w:rFonts w:ascii="Times New Roman" w:hAnsi="Times New Roman" w:cs="Times New Roman"/>
          <w:sz w:val="28"/>
          <w:szCs w:val="28"/>
        </w:rPr>
        <w:t xml:space="preserve">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1"/>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Какой доход (за вычетом расходов, которые понес бы Истец при производстве цемента марки ЦЕМ II/А-Ш 32.5 Б из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получил бы Истец, если бы со стороны Ответчика в августе 2008 г. была осуществлена поставка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Является ли отсутствие поставки Ответчиком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в августе 2008 г. по договору N 21-06-0116-00 от 01.04.2006 </w:t>
      </w:r>
      <w:r>
        <w:rPr>
          <w:rFonts w:ascii="Times New Roman" w:hAnsi="Times New Roman" w:cs="Times New Roman"/>
          <w:sz w:val="28"/>
          <w:szCs w:val="28"/>
        </w:rPr>
        <w:lastRenderedPageBreak/>
        <w:t>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Если бы в августе 2008 г. была осуществлена поставка 62 140 тонн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Для производства цемента у истца имелись все необходимые ресурсы, за исключением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7"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3"/>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Размер убытков в данном случае был определен как разница между стоимостью продукции, запланированной для продажи, но так и не </w:t>
      </w:r>
      <w:r>
        <w:rPr>
          <w:rFonts w:ascii="Times New Roman" w:hAnsi="Times New Roman" w:cs="Times New Roman"/>
          <w:sz w:val="28"/>
          <w:szCs w:val="28"/>
        </w:rPr>
        <w:lastRenderedPageBreak/>
        <w:t>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8"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29"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0"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w:t>
      </w:r>
      <w:proofErr w:type="spellStart"/>
      <w:r>
        <w:rPr>
          <w:rFonts w:ascii="Times New Roman" w:hAnsi="Times New Roman" w:cs="Times New Roman"/>
          <w:sz w:val="28"/>
          <w:szCs w:val="28"/>
        </w:rPr>
        <w:t>антиконкурентных</w:t>
      </w:r>
      <w:proofErr w:type="spellEnd"/>
      <w:r>
        <w:rPr>
          <w:rFonts w:ascii="Times New Roman" w:hAnsi="Times New Roman" w:cs="Times New Roman"/>
          <w:sz w:val="28"/>
          <w:szCs w:val="28"/>
        </w:rPr>
        <w:t xml:space="preserve"> действий органом государственной власти, которые ранее решением ФАС России были признаны нарушившими </w:t>
      </w:r>
      <w:hyperlink r:id="rId31"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6"/>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антиконкурентного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lastRenderedPageBreak/>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Правила технологического присоединения </w:t>
      </w:r>
      <w:proofErr w:type="spellStart"/>
      <w:r w:rsidRPr="005C629F">
        <w:rPr>
          <w:rFonts w:ascii="Times New Roman" w:eastAsia="Times New Roman" w:hAnsi="Times New Roman" w:cs="Times New Roman"/>
          <w:sz w:val="28"/>
          <w:szCs w:val="28"/>
          <w:lang w:eastAsia="ru-RU"/>
        </w:rPr>
        <w:t>энергопринимающих</w:t>
      </w:r>
      <w:proofErr w:type="spellEnd"/>
      <w:r w:rsidRPr="005C629F">
        <w:rPr>
          <w:rFonts w:ascii="Times New Roman" w:eastAsia="Times New Roman" w:hAnsi="Times New Roman" w:cs="Times New Roman"/>
          <w:sz w:val="28"/>
          <w:szCs w:val="28"/>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w:t>
      </w:r>
      <w:r w:rsidRPr="005C629F">
        <w:rPr>
          <w:rFonts w:ascii="Times New Roman" w:eastAsia="Times New Roman" w:hAnsi="Times New Roman" w:cs="Times New Roman"/>
          <w:sz w:val="28"/>
          <w:szCs w:val="28"/>
          <w:lang w:eastAsia="ru-RU"/>
        </w:rPr>
        <w:lastRenderedPageBreak/>
        <w:t xml:space="preserve">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w:t>
      </w:r>
      <w:proofErr w:type="spellStart"/>
      <w:r w:rsidRPr="005C629F">
        <w:rPr>
          <w:rFonts w:ascii="Times New Roman" w:eastAsia="Times New Roman" w:hAnsi="Times New Roman" w:cs="Times New Roman"/>
          <w:b/>
          <w:bCs/>
          <w:iCs/>
          <w:sz w:val="28"/>
          <w:szCs w:val="28"/>
          <w:lang w:eastAsia="ru-RU"/>
        </w:rPr>
        <w:t>перетоку</w:t>
      </w:r>
      <w:proofErr w:type="spellEnd"/>
      <w:r w:rsidRPr="005C629F">
        <w:rPr>
          <w:rFonts w:ascii="Times New Roman" w:eastAsia="Times New Roman" w:hAnsi="Times New Roman" w:cs="Times New Roman"/>
          <w:b/>
          <w:bCs/>
          <w:iCs/>
          <w:sz w:val="28"/>
          <w:szCs w:val="28"/>
          <w:lang w:eastAsia="ru-RU"/>
        </w:rPr>
        <w:t xml:space="preserve">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8"/>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5C629F">
        <w:rPr>
          <w:rFonts w:ascii="Times New Roman" w:eastAsia="Times New Roman" w:hAnsi="Times New Roman" w:cs="Times New Roman"/>
          <w:sz w:val="28"/>
          <w:szCs w:val="28"/>
          <w:lang w:eastAsia="ru-RU"/>
        </w:rPr>
        <w:t>энергопринимающее</w:t>
      </w:r>
      <w:proofErr w:type="spellEnd"/>
      <w:r w:rsidRPr="005C629F">
        <w:rPr>
          <w:rFonts w:ascii="Times New Roman" w:eastAsia="Times New Roman" w:hAnsi="Times New Roman" w:cs="Times New Roman"/>
          <w:sz w:val="28"/>
          <w:szCs w:val="28"/>
          <w:lang w:eastAsia="ru-RU"/>
        </w:rPr>
        <w:t xml:space="preserve"> устройство потребителя, не вправе препятствовать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 xml:space="preserve">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Вместе с тем, как указано в постановлении Президиума ВАС РФ, опосредованное присоединение, которое в силу положений ПНД обязывает не препятствовать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w:t>
      </w:r>
      <w:proofErr w:type="spellStart"/>
      <w:r w:rsidRPr="005C629F">
        <w:rPr>
          <w:rFonts w:ascii="Times New Roman" w:eastAsia="Times New Roman" w:hAnsi="Times New Roman" w:cs="Times New Roman"/>
          <w:sz w:val="28"/>
          <w:szCs w:val="28"/>
          <w:lang w:eastAsia="ru-RU"/>
        </w:rPr>
        <w:t>энергопринимающего</w:t>
      </w:r>
      <w:proofErr w:type="spellEnd"/>
      <w:r w:rsidRPr="005C629F">
        <w:rPr>
          <w:rFonts w:ascii="Times New Roman" w:eastAsia="Times New Roman" w:hAnsi="Times New Roman" w:cs="Times New Roman"/>
          <w:sz w:val="28"/>
          <w:szCs w:val="28"/>
          <w:lang w:eastAsia="ru-RU"/>
        </w:rPr>
        <w:t xml:space="preserve"> устройства, присоединенного к сетям </w:t>
      </w:r>
      <w:proofErr w:type="spellStart"/>
      <w:r w:rsidRPr="005C629F">
        <w:rPr>
          <w:rFonts w:ascii="Times New Roman" w:eastAsia="Times New Roman" w:hAnsi="Times New Roman" w:cs="Times New Roman"/>
          <w:sz w:val="28"/>
          <w:szCs w:val="28"/>
          <w:lang w:eastAsia="ru-RU"/>
        </w:rPr>
        <w:t>энергоснабжающей</w:t>
      </w:r>
      <w:proofErr w:type="spellEnd"/>
      <w:r w:rsidRPr="005C629F">
        <w:rPr>
          <w:rFonts w:ascii="Times New Roman" w:eastAsia="Times New Roman" w:hAnsi="Times New Roman" w:cs="Times New Roman"/>
          <w:sz w:val="28"/>
          <w:szCs w:val="28"/>
          <w:lang w:eastAsia="ru-RU"/>
        </w:rPr>
        <w:t xml:space="preserve">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Таким образом, в случае если собственник или иной законный владелец объектов </w:t>
      </w:r>
      <w:proofErr w:type="spellStart"/>
      <w:r w:rsidRPr="005C629F">
        <w:rPr>
          <w:rFonts w:ascii="Times New Roman" w:eastAsia="Times New Roman" w:hAnsi="Times New Roman" w:cs="Times New Roman"/>
          <w:sz w:val="28"/>
          <w:szCs w:val="28"/>
          <w:lang w:eastAsia="ru-RU"/>
        </w:rPr>
        <w:t>электросетевого</w:t>
      </w:r>
      <w:proofErr w:type="spellEnd"/>
      <w:r w:rsidRPr="005C629F">
        <w:rPr>
          <w:rFonts w:ascii="Times New Roman" w:eastAsia="Times New Roman" w:hAnsi="Times New Roman" w:cs="Times New Roman"/>
          <w:sz w:val="28"/>
          <w:szCs w:val="28"/>
          <w:lang w:eastAsia="ru-RU"/>
        </w:rPr>
        <w:t xml:space="preserve"> хозяйства препятствует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электрической энергии через данные объекты электросетевого хозяйства на объекты (</w:t>
      </w:r>
      <w:proofErr w:type="spellStart"/>
      <w:r w:rsidRPr="005C629F">
        <w:rPr>
          <w:rFonts w:ascii="Times New Roman" w:eastAsia="Times New Roman" w:hAnsi="Times New Roman" w:cs="Times New Roman"/>
          <w:sz w:val="28"/>
          <w:szCs w:val="28"/>
          <w:lang w:eastAsia="ru-RU"/>
        </w:rPr>
        <w:t>энергопринимающие</w:t>
      </w:r>
      <w:proofErr w:type="spellEnd"/>
      <w:r w:rsidRPr="005C629F">
        <w:rPr>
          <w:rFonts w:ascii="Times New Roman" w:eastAsia="Times New Roman" w:hAnsi="Times New Roman" w:cs="Times New Roman"/>
          <w:sz w:val="28"/>
          <w:szCs w:val="28"/>
          <w:lang w:eastAsia="ru-RU"/>
        </w:rPr>
        <w:t xml:space="preserve">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w:t>
      </w:r>
      <w:proofErr w:type="spellStart"/>
      <w:r w:rsidRPr="005C629F">
        <w:rPr>
          <w:rFonts w:ascii="Times New Roman" w:eastAsia="Times New Roman" w:hAnsi="Times New Roman" w:cs="Times New Roman"/>
          <w:sz w:val="28"/>
          <w:szCs w:val="28"/>
          <w:lang w:eastAsia="ru-RU"/>
        </w:rPr>
        <w:t>энергопринимающих</w:t>
      </w:r>
      <w:proofErr w:type="spellEnd"/>
      <w:r w:rsidRPr="005C629F">
        <w:rPr>
          <w:rFonts w:ascii="Times New Roman" w:eastAsia="Times New Roman" w:hAnsi="Times New Roman" w:cs="Times New Roman"/>
          <w:sz w:val="28"/>
          <w:szCs w:val="28"/>
          <w:lang w:eastAsia="ru-RU"/>
        </w:rPr>
        <w:t xml:space="preserve">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w:t>
      </w:r>
      <w:r w:rsidRPr="005C629F">
        <w:rPr>
          <w:rFonts w:ascii="Times New Roman" w:eastAsia="Times New Roman" w:hAnsi="Times New Roman" w:cs="Times New Roman"/>
          <w:sz w:val="28"/>
          <w:szCs w:val="28"/>
          <w:lang w:eastAsia="ru-RU"/>
        </w:rPr>
        <w:lastRenderedPageBreak/>
        <w:t>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w:t>
      </w:r>
      <w:r w:rsidRPr="005C629F">
        <w:rPr>
          <w:rFonts w:ascii="Times New Roman" w:eastAsia="Times New Roman" w:hAnsi="Times New Roman" w:cs="Times New Roman"/>
          <w:sz w:val="28"/>
          <w:szCs w:val="28"/>
          <w:lang w:eastAsia="ru-RU"/>
        </w:rPr>
        <w:lastRenderedPageBreak/>
        <w:t>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 указанных случаях виновные действия (бездействие) </w:t>
      </w:r>
      <w:proofErr w:type="spellStart"/>
      <w:r w:rsidRPr="005C629F">
        <w:rPr>
          <w:rFonts w:ascii="Times New Roman" w:eastAsia="Times New Roman" w:hAnsi="Times New Roman" w:cs="Times New Roman"/>
          <w:sz w:val="28"/>
          <w:szCs w:val="28"/>
          <w:lang w:eastAsia="ru-RU"/>
        </w:rPr>
        <w:t>ресурсоснабжающих</w:t>
      </w:r>
      <w:proofErr w:type="spellEnd"/>
      <w:r w:rsidRPr="005C629F">
        <w:rPr>
          <w:rFonts w:ascii="Times New Roman" w:eastAsia="Times New Roman" w:hAnsi="Times New Roman" w:cs="Times New Roman"/>
          <w:sz w:val="28"/>
          <w:szCs w:val="28"/>
          <w:lang w:eastAsia="ru-RU"/>
        </w:rPr>
        <w:t xml:space="preserve">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w:t>
      </w:r>
      <w:r w:rsidRPr="005C629F">
        <w:rPr>
          <w:rFonts w:ascii="Times New Roman" w:eastAsia="Times New Roman" w:hAnsi="Times New Roman" w:cs="Times New Roman"/>
          <w:sz w:val="28"/>
          <w:szCs w:val="28"/>
          <w:lang w:eastAsia="ru-RU"/>
        </w:rPr>
        <w:lastRenderedPageBreak/>
        <w:t xml:space="preserve">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 частью 6 статьи 28.2 КоАП потерпевшему вручается под расписку копия протокола об административном правонарушении; </w:t>
      </w:r>
      <w:r w:rsidRPr="005C629F">
        <w:rPr>
          <w:rFonts w:ascii="Times New Roman" w:eastAsia="Times New Roman" w:hAnsi="Times New Roman" w:cs="Times New Roman"/>
          <w:sz w:val="28"/>
          <w:szCs w:val="28"/>
          <w:lang w:eastAsia="ru-RU"/>
        </w:rPr>
        <w:lastRenderedPageBreak/>
        <w:t>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D52262" w:rsidRDefault="005C629F" w:rsidP="00D52262">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r w:rsid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РАЗЪЯСНЕНИЕ</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«О ПРИМЕНЕНИИ ПОЛОЖЕНИЙ СТАТЬИ 10 ЗАКОНА О ЗАЩИТЕ КОНКУРЕНЦИИ»</w:t>
      </w:r>
    </w:p>
    <w:p w:rsidR="00D52262" w:rsidRPr="00D52262" w:rsidRDefault="00D52262" w:rsidP="00D52262">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применения положений статьи 10 Федерального закона от 26.07.2006 № 135-ФЗ «О защите конкуренции» (далее – Закон о защите конкуренции).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
          <w:sz w:val="28"/>
          <w:szCs w:val="28"/>
        </w:rPr>
        <w:t>1. Понятие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1.1. Общие условия применения запрета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Высшего Арбитражного Суда Российской Федерации № 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 относится к нормам ГК РФ, на которых основано антимонопольное законодательство. При этом суду или антимонопольному органу при оценке действий (бездействия) хозяйствующего субъекта, занимающего доминирующее положение, следует 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w:t>
      </w:r>
      <w:r w:rsidRPr="00D52262">
        <w:rPr>
          <w:rFonts w:ascii="Times New Roman" w:eastAsia="Calibri" w:hAnsi="Times New Roman" w:cs="Times New Roman"/>
          <w:bCs/>
          <w:sz w:val="28"/>
          <w:szCs w:val="28"/>
        </w:rPr>
        <w:lastRenderedPageBreak/>
        <w:t>либо ими налагаются на контрагентов неразумные ограничения или ставятся необоснованные условия реализации контрагентами своих прав.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Высшего Арбитражного Суда Российской Федерации от 05.04.2011 № 14185/10 по делу № А40-125814/09).</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 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том числе ценовая дискриминация и др.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 xml:space="preserve">1.2. Конструкция правового запрета </w:t>
      </w:r>
      <w:bookmarkStart w:id="8" w:name="OLE_LINK10"/>
      <w:r w:rsidRPr="00D52262">
        <w:rPr>
          <w:rFonts w:ascii="Times New Roman" w:eastAsia="Calibri" w:hAnsi="Times New Roman" w:cs="Times New Roman"/>
          <w:b/>
          <w:bCs/>
          <w:sz w:val="28"/>
          <w:szCs w:val="28"/>
        </w:rPr>
        <w:t>злоупотребления доминирующим положением</w:t>
      </w:r>
      <w:bookmarkEnd w:id="8"/>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запрещается конкретным пунктом части 1 статьи 10 Закона о защите конкуренции, однако содержит все признаки злоупотребления </w:t>
      </w:r>
      <w:r w:rsidRPr="00D52262">
        <w:rPr>
          <w:rFonts w:ascii="Times New Roman" w:eastAsia="Calibri" w:hAnsi="Times New Roman" w:cs="Times New Roman"/>
          <w:bCs/>
          <w:sz w:val="28"/>
          <w:szCs w:val="28"/>
        </w:rPr>
        <w:lastRenderedPageBreak/>
        <w:t>доминирующим положением, определенные общим запретом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и соответственно, он носит открытый характер.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 этом необходимо иметь в виду, что если действия хозяйствующего субъекта содержат признаки нарушения, предусмотренного конкретным пунктом части 1 статьи 10 Закона о защите конкуренции, то </w:t>
      </w:r>
      <w:r w:rsidRPr="00D52262">
        <w:rPr>
          <w:rFonts w:ascii="Times New Roman" w:eastAsia="Calibri" w:hAnsi="Times New Roman" w:cs="Times New Roman"/>
          <w:b/>
          <w:sz w:val="28"/>
          <w:szCs w:val="28"/>
        </w:rPr>
        <w:t>недопустимо</w:t>
      </w:r>
      <w:r w:rsidRPr="00D52262">
        <w:rPr>
          <w:rFonts w:ascii="Times New Roman" w:eastAsia="Calibri" w:hAnsi="Times New Roman" w:cs="Times New Roman"/>
          <w:sz w:val="28"/>
          <w:szCs w:val="28"/>
        </w:rPr>
        <w:t xml:space="preserve"> осуществлять квалификацию таких действий как нарушение общего запрета злоупотребления доминирующим положением -  части 1 статьи 10 Закона о защите конкуренции, без указания ее конкретного пункта. Указанная позиция находит свое отражение в судебной практике (например, постановление Арбитражного суда Уральского округа от 25.09.2014 № Ф09-6050/14 по делу № А76-25521/2013).</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Следовательно, злоупотребление доминирующим положением характеризуется следующей совокупностью взаимосвязанных признаков: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1) доминирующее положение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2) совершение хозяйствующим субъектом действия (бездействия);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3) наступление или возможность наступления негативных последствий в виде </w:t>
      </w:r>
      <w:bookmarkStart w:id="9" w:name="OLE_LINK8"/>
      <w:r w:rsidRPr="00D52262">
        <w:rPr>
          <w:rFonts w:ascii="Times New Roman" w:eastAsia="Calibri" w:hAnsi="Times New Roman" w:cs="Times New Roman"/>
          <w:bCs/>
          <w:sz w:val="28"/>
          <w:szCs w:val="28"/>
        </w:rPr>
        <w:t>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bookmarkEnd w:id="9"/>
      <w:r w:rsidRPr="00D52262">
        <w:rPr>
          <w:rFonts w:ascii="Times New Roman" w:eastAsia="Calibri" w:hAnsi="Times New Roman" w:cs="Times New Roman"/>
          <w:bCs/>
          <w:sz w:val="28"/>
          <w:szCs w:val="28"/>
        </w:rPr>
        <w:t>;</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Вместе с тем необходимо учитывать положения части 2 статьи 10 Закона о защите конкуренции, части 1 статьи 13 Закона о защите конкуренции, закрепляющие возможность признания д</w:t>
      </w:r>
      <w:r w:rsidRPr="00D52262">
        <w:rPr>
          <w:rFonts w:ascii="Times New Roman" w:hAnsi="Times New Roman" w:cs="Times New Roman"/>
          <w:sz w:val="28"/>
          <w:szCs w:val="28"/>
        </w:rPr>
        <w:t xml:space="preserve">ействий (бездействия) хозяйствующих субъектов, предусмотренных частью 1 статьи 10 Закона о защите конкуренции (за исключением действий (бездействия), указанных в пунктах 1 (за исключением случаев установления или поддержания цены </w:t>
      </w:r>
      <w:r w:rsidRPr="00D52262">
        <w:rPr>
          <w:rFonts w:ascii="Times New Roman" w:hAnsi="Times New Roman" w:cs="Times New Roman"/>
          <w:sz w:val="28"/>
          <w:szCs w:val="28"/>
        </w:rPr>
        <w:lastRenderedPageBreak/>
        <w:t>товара, являющегося результатом инновационной деятельности), 2, 3, 5, 6, 7 и 10 части 1 статьи 10 Закона о защите конкуренции), допустимыми.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1.3. Оценка положения хозяйствующего субъекта на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Указанная норма Закона о защите конкуренции содержит качественные критерии доминирующего положения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Помимо качественных критериев существуют также количественные, отражающие определенную долю хозяйствующего субъекта на конкретном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пунктом 1 части 1 статьи 5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По общему правилу,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w:t>
      </w:r>
      <w:r w:rsidRPr="00D52262">
        <w:rPr>
          <w:rFonts w:ascii="Times New Roman" w:eastAsia="Calibri" w:hAnsi="Times New Roman" w:cs="Times New Roman"/>
          <w:bCs/>
          <w:sz w:val="28"/>
          <w:szCs w:val="28"/>
        </w:rPr>
        <w:lastRenderedPageBreak/>
        <w:t>35%. Вместе с тем данное правило не применяется в случае коллективного доминирования (часть 3 статьи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Доминирующее положение хозяйствующего субъекта, доля которого на рынке определенного товара превышает 35%, но менее чем 50%, должно быть установлено антимонопольным органом исходя из определенных критериев. 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случае, если доля хозяйствующего субъекта на рынке определенного товара превышает 35%, но менее чем 50%, процесс установления доминирующего положения такого хозяйствующего субъекта включает:</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оценку динамики доли хозяйствующего субъекта на товарном рынке, которая должна быть неизменной или подвержена малозначительным изменениям;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оценку относительного размера долей на товарном рынке, принадлежащих конкурентам;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оценку возможности доступа на товарный рынок новых конкурентов.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Данный перечень согласно пункту 2 части 1 статьи 5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Необходимость дополнительной оценки такого влияния обуславливается следующими обстоятельствами: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Порядком проведения анализа состояния конкуренции на товарном рынке, утвержденным приказом ФАС России от 28.04.2010 № 220 (далее – Порядок анализа состояния конкуренции). 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п. 2.3. Порядка анализа состояния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Существуют также специальные правила определения доминирующего положения хозяйствующего субъекта в зависимости от специфики рынка.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Федеральный закон от 26.03.2003 № 35-ФЗ «Об электроэнергетике»).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финансовых организаций применяются критерии доминирования, определенные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постановлением Правительства Российской Федерации от 26.06.2007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Указанные нормативные правовые акты Правительства Российской Федерации по аналогии с нормами статьи 5 Закона о защите конкуренции 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том числе исследовать динамику доли хозяйствующего субъекта на товарном рынке и размер долей на товарном рынке, принадлежащих конкурентам.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 xml:space="preserve">Необходимо также учитывать положения части 3 статьи 5 Закона о защите конкуренции, согласно которым </w:t>
      </w:r>
      <w:r w:rsidRPr="00D52262">
        <w:rPr>
          <w:rFonts w:ascii="Times New Roman" w:hAnsi="Times New Roman" w:cs="Times New Roman"/>
          <w:sz w:val="28"/>
          <w:szCs w:val="28"/>
        </w:rPr>
        <w:t>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50%,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70% (настоящее положение не применяется, если доля хотя бы одного из указанных хозяйствующих субъектов менее чем 8%);</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lastRenderedPageBreak/>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наличии у иного хозяйствующего субъекта существенно большей доли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color w:val="000000"/>
          <w:sz w:val="28"/>
          <w:szCs w:val="28"/>
        </w:rPr>
        <w:t>Для целей установления доминирующего положения временной интервал анализа состояния конкуренции должен включать время (период) совершения предполагаемого нарушения антимонопольного законодательства</w:t>
      </w:r>
      <w:r w:rsidRPr="00D52262">
        <w:rPr>
          <w:rFonts w:ascii="Times New Roman" w:eastAsia="Calibri" w:hAnsi="Times New Roman" w:cs="Times New Roman"/>
          <w:color w:val="000000"/>
          <w:sz w:val="28"/>
          <w:szCs w:val="28"/>
          <w:vertAlign w:val="superscript"/>
        </w:rPr>
        <w:footnoteReference w:id="9"/>
      </w:r>
      <w:r w:rsidRPr="00D52262">
        <w:rPr>
          <w:rFonts w:ascii="Times New Roman" w:eastAsia="Calibri" w:hAnsi="Times New Roman" w:cs="Times New Roman"/>
          <w:color w:val="000000"/>
          <w:sz w:val="28"/>
          <w:szCs w:val="28"/>
        </w:rPr>
        <w:t>. В то же время необходимо учитывать положения пунктов 3.8, 4.5 Порядка анализа состояния конкуренции, в соответствии с которыми выбор методов исследования производится, в том числе исходя из сроков исследования и доступности информации.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этом согласно части 4 статьи 5 Закона о защите конкуренции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млн.руб.</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 одним из существенных изменений, которые внесены Федеральным законом от 03.07.2016 № 264-ФЗ «О внесении изменений в Федеральный закон «О защите конкуренции» и отдельные законодательные акты Российской Федерации» (далее – Закон № 264-ФЗ) является введение иммунитетов для определенных Законом № 264-ФЗ хозяйствующих субъектов в отношении установления в отношении них фактов наличия доминирующего положения и заключения отдельных </w:t>
      </w:r>
      <w:proofErr w:type="spellStart"/>
      <w:r w:rsidRPr="00D52262">
        <w:rPr>
          <w:rFonts w:ascii="Times New Roman" w:eastAsia="Calibri" w:hAnsi="Times New Roman" w:cs="Times New Roman"/>
          <w:bCs/>
          <w:sz w:val="28"/>
          <w:szCs w:val="28"/>
        </w:rPr>
        <w:t>антиконкурентных</w:t>
      </w:r>
      <w:proofErr w:type="spellEnd"/>
      <w:r w:rsidRPr="00D52262">
        <w:rPr>
          <w:rFonts w:ascii="Times New Roman" w:eastAsia="Calibri" w:hAnsi="Times New Roman" w:cs="Times New Roman"/>
          <w:bCs/>
          <w:sz w:val="28"/>
          <w:szCs w:val="28"/>
        </w:rPr>
        <w:t xml:space="preserve"> соглашений.</w:t>
      </w:r>
    </w:p>
    <w:p w:rsidR="00D52262" w:rsidRPr="00D52262" w:rsidRDefault="00D52262" w:rsidP="00D522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bCs/>
          <w:sz w:val="28"/>
          <w:szCs w:val="28"/>
        </w:rPr>
        <w:t xml:space="preserve">Согласно части 2.1 статьи 5 Закона о защите конкуренции </w:t>
      </w:r>
      <w:r w:rsidRPr="00D52262">
        <w:rPr>
          <w:rFonts w:ascii="Times New Roman" w:eastAsia="Times New Roman" w:hAnsi="Times New Roman" w:cs="Times New Roman"/>
          <w:sz w:val="28"/>
          <w:szCs w:val="28"/>
          <w:lang w:eastAsia="ru-RU"/>
        </w:rPr>
        <w:t>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lastRenderedPageBreak/>
        <w:t>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Данное исключение не применяется к хозяйствующим субъектам, входящим в группу лиц по основанию, предусмотренному пунктом 7 части 1 статьи 9 Закона о защите конкуренции;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к хозяйствующему субъекту, участником которого является индивидуальный предприниматель;</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2) финансовой организации;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3) субъекта естественной монополии на товарном рынке, находящемся в состоянии естественной монополии;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4) хозяйствующего субъекта, имеющего в качестве учредителей или участников хозяйствующих субъектов - юридических лиц;</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D52262" w:rsidRPr="00D52262" w:rsidRDefault="00D52262" w:rsidP="00D52262">
      <w:pPr>
        <w:spacing w:after="0" w:line="240" w:lineRule="auto"/>
        <w:ind w:firstLine="547"/>
        <w:jc w:val="both"/>
        <w:rPr>
          <w:rFonts w:ascii="Times New Roman" w:eastAsia="Calibri" w:hAnsi="Times New Roman" w:cs="Times New Roman"/>
          <w:bCs/>
          <w:sz w:val="28"/>
          <w:szCs w:val="28"/>
        </w:rPr>
      </w:pPr>
      <w:r w:rsidRPr="00D52262">
        <w:rPr>
          <w:rFonts w:ascii="Times New Roman" w:eastAsia="Times New Roman" w:hAnsi="Times New Roman" w:cs="Times New Roman"/>
          <w:sz w:val="28"/>
          <w:szCs w:val="28"/>
          <w:lang w:eastAsia="ru-RU"/>
        </w:rPr>
        <w:t>В соответствии с частью 2.2 статьи 5 Закона о защите конкуренции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r w:rsidRPr="00D52262">
        <w:rPr>
          <w:rFonts w:ascii="Times New Roman" w:eastAsia="Calibri" w:hAnsi="Times New Roman" w:cs="Times New Roman"/>
          <w:bCs/>
          <w:sz w:val="28"/>
          <w:szCs w:val="28"/>
        </w:rPr>
        <w:t xml:space="preserve">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1.4. Противоправное поведение, составляющее злоупотребление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w:t>
      </w:r>
      <w:r w:rsidRPr="00D52262">
        <w:rPr>
          <w:rFonts w:ascii="Times New Roman" w:eastAsia="Calibri" w:hAnsi="Times New Roman" w:cs="Times New Roman"/>
          <w:bCs/>
          <w:sz w:val="28"/>
          <w:szCs w:val="28"/>
        </w:rPr>
        <w:lastRenderedPageBreak/>
        <w:t xml:space="preserve">публичном распространении информации, в том числе ее размещении на официальном сайте в сети «Интернет».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того, отдельные формы злоупотребления доминирующим положением могут не иметь внешне выраженного характера, а состоять в принятии внутренних управленческих решений и даче указаний внутри хозяйствующего субъекта или его группы лиц. Например, пункт 4 части 1 статьи 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Часть 1 статьи 10 Закона о защите конкуренции также предусматривает запрет злоупотребления доминирующим положением в форме бездействия, представляющего собой пассивную форму поведения. Однако, для квалификации бездействия в соответствии с частью 1 статьи 10 Закона о защите конкуренции в решении следует устанавливать: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конкретные действия, которые не были совершены хозяйствующим субъектом;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обязанность совершения таких действий со ссылкой на нормативный правовой акт (например, положения статьи 10 ГК РФ, статьи 426 ГК РФ, статьи 6, статьи 10 Закона о защите конкуренции и др.) или договор, устанавливающий обязанность совершения таких действий.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1.5. Оценка негативных последствий поведения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При оценке наличия или угрозы </w:t>
      </w:r>
      <w:r w:rsidRPr="00D52262">
        <w:rPr>
          <w:rFonts w:ascii="Times New Roman" w:eastAsia="Calibri" w:hAnsi="Times New Roman" w:cs="Times New Roman"/>
          <w:bCs/>
          <w:sz w:val="28"/>
          <w:szCs w:val="28"/>
        </w:rPr>
        <w:t xml:space="preserve">последствий в виде </w:t>
      </w:r>
      <w:r w:rsidRPr="00D52262">
        <w:rPr>
          <w:rFonts w:ascii="Times New Roman" w:eastAsia="Times New Roman" w:hAnsi="Times New Roman" w:cs="Times New Roman"/>
          <w:bCs/>
          <w:sz w:val="28"/>
          <w:szCs w:val="28"/>
        </w:rPr>
        <w:t>недопущения, ограничения, устранения конкуренции, наступающих в результате</w:t>
      </w:r>
      <w:r w:rsidRPr="00D52262">
        <w:rPr>
          <w:rFonts w:ascii="Times New Roman" w:eastAsia="Calibri" w:hAnsi="Times New Roman" w:cs="Times New Roman"/>
          <w:bCs/>
          <w:sz w:val="28"/>
          <w:szCs w:val="28"/>
        </w:rPr>
        <w:t xml:space="preserve"> действий (бездействия) доминирующего субъекта</w:t>
      </w:r>
      <w:r w:rsidRPr="00D52262">
        <w:rPr>
          <w:rFonts w:ascii="Times New Roman" w:eastAsia="Times New Roman" w:hAnsi="Times New Roman" w:cs="Times New Roman"/>
          <w:bCs/>
          <w:sz w:val="28"/>
          <w:szCs w:val="28"/>
        </w:rPr>
        <w:t>,</w:t>
      </w:r>
      <w:r w:rsidRPr="00D52262">
        <w:rPr>
          <w:rFonts w:ascii="Times New Roman" w:eastAsia="Calibri" w:hAnsi="Times New Roman" w:cs="Times New Roman"/>
          <w:bCs/>
          <w:sz w:val="28"/>
          <w:szCs w:val="28"/>
        </w:rPr>
        <w:t xml:space="preserve"> под «общими условиями обращения товара на товарном рынке» могут </w:t>
      </w:r>
      <w:r w:rsidRPr="00D52262">
        <w:rPr>
          <w:rFonts w:ascii="Times New Roman" w:eastAsia="Times New Roman" w:hAnsi="Times New Roman" w:cs="Times New Roman"/>
          <w:bCs/>
          <w:sz w:val="28"/>
          <w:szCs w:val="28"/>
          <w:lang w:eastAsia="ru-RU"/>
        </w:rPr>
        <w:t>пониматься условия, исследуемые при проведении анализа состояния конкуренции на товарном рынке согласно Порядку анализа состояния конкуренции</w:t>
      </w:r>
      <w:r w:rsidRPr="00D52262">
        <w:rPr>
          <w:rFonts w:ascii="Times New Roman" w:eastAsia="Times New Roman" w:hAnsi="Times New Roman" w:cs="Times New Roman"/>
          <w:bCs/>
          <w:sz w:val="28"/>
          <w:szCs w:val="28"/>
          <w:vertAlign w:val="superscript"/>
          <w:lang w:eastAsia="ru-RU"/>
        </w:rPr>
        <w:footnoteReference w:id="10"/>
      </w:r>
      <w:r w:rsidRPr="00D52262">
        <w:rPr>
          <w:rFonts w:ascii="Times New Roman" w:eastAsia="Times New Roman" w:hAnsi="Times New Roman" w:cs="Times New Roman"/>
          <w:bCs/>
          <w:sz w:val="28"/>
          <w:szCs w:val="28"/>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 на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абзаце 2 пункта 4 Постановления Высшего Арбитражного Суда Российской Федерации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w:t>
      </w:r>
      <w:r w:rsidRPr="00D52262">
        <w:rPr>
          <w:rFonts w:ascii="Times New Roman" w:eastAsia="Calibri" w:hAnsi="Times New Roman" w:cs="Times New Roman"/>
          <w:bCs/>
          <w:sz w:val="28"/>
          <w:szCs w:val="28"/>
        </w:rPr>
        <w:lastRenderedPageBreak/>
        <w:t>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 этом согласно абзацу 4 пункта 4 Постановления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Вместе с тем последствия в виде ограничения конкуренции и последствия в виде ущемления интересов влекут разную административную ответственность (за исключением случаев совершения правонарушения субъектом естественной монополии, ответственность которого предусмотрена в любом случае частью 2 статьи 14.31 Кодекса Российской Федерации об административных правонарушениях (далее – КоАП РФ)), и при этом административная ответственность в случае ограничения конкуренции является более строгой.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 (за исключением указанных выше случаев, когда рассматривается дело в отношении субъектов естественных монополий).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отсутствие обоснования ограничения, недопущения или устранения конкуренции, или возможности наступления таких последствий, квалификация комиссией по рассмотрению дела о нарушении 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1.6. Значение объективной взаимосвязи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негативными последствиями в виде недопущения, ограничения, устранения конкуренции </w:t>
      </w:r>
      <w:r w:rsidRPr="00D52262">
        <w:rPr>
          <w:rFonts w:ascii="Times New Roman" w:eastAsia="Calibri" w:hAnsi="Times New Roman" w:cs="Times New Roman"/>
          <w:bCs/>
          <w:sz w:val="28"/>
          <w:szCs w:val="28"/>
        </w:rPr>
        <w:lastRenderedPageBreak/>
        <w:t xml:space="preserve">или ущемления интересов других лиц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Следует учитывать, что злоупотребление доминирующим положением предполагает необходимость установления антимонопольным органом объективной взаимосвязи между рассматриваемыми действиями и доминирующим положением хозяйствующего субъекта на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Наличие такой 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Поскольку при злоупотреблении доминирующим положением конкретный способ реализации права должен находиться в непосредственной </w:t>
      </w:r>
      <w:r w:rsidRPr="00D52262">
        <w:rPr>
          <w:rFonts w:ascii="Times New Roman" w:eastAsia="Calibri" w:hAnsi="Times New Roman" w:cs="Times New Roman"/>
          <w:bCs/>
          <w:sz w:val="28"/>
          <w:szCs w:val="28"/>
        </w:rPr>
        <w:t>объективной взаимосвязи</w:t>
      </w:r>
      <w:r w:rsidRPr="00D52262">
        <w:rPr>
          <w:rFonts w:ascii="Times New Roman" w:eastAsia="Calibri" w:hAnsi="Times New Roman" w:cs="Times New Roman"/>
          <w:sz w:val="28"/>
          <w:szCs w:val="28"/>
        </w:rPr>
        <w:t xml:space="preserve">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связан с его положением на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52262">
        <w:rPr>
          <w:rFonts w:ascii="Times New Roman" w:eastAsia="Calibri" w:hAnsi="Times New Roman" w:cs="Times New Roman"/>
          <w:sz w:val="28"/>
          <w:szCs w:val="28"/>
          <w:lang w:eastAsia="ru-RU"/>
        </w:rPr>
        <w:t>Учитывая изложенное, следует отличать:</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б) осуществление субъектом, занимающим доминирующее положение, злоупотребления правом при осуществлении своих прав вне связи с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КоАП РФ). Согласно части 3 статьи 51 Закона о защите конкуренции лицо,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w:t>
      </w:r>
      <w:r w:rsidRPr="00D52262">
        <w:rPr>
          <w:rFonts w:ascii="Times New Roman" w:eastAsia="Calibri" w:hAnsi="Times New Roman" w:cs="Times New Roman"/>
          <w:bCs/>
          <w:sz w:val="28"/>
          <w:szCs w:val="28"/>
        </w:rPr>
        <w:lastRenderedPageBreak/>
        <w:t>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этого, в судебном порядке в соответствии с частью 3 статьи 37 Закона о защите конкуренции могут быть взысканы убытки, причиненные вследствие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правом, запрещаемое статьей 10 ГК РФ, может являться основанием для применения судом гражданско-правовых санкций в виде отказа в защите права и возмещения причиненных убытков.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что согласно пункту 5 Постановления Высшего Арбитражного Суда Российской Федерации №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 административной ответственности. Однако,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Аналогичная правовая позиция изложена в постановлении Президиума Высшего Арбитражного Суда Российской Федерации от 12.07.2006 № 1812/06, из которого следует, что антимонопольный орган не вправе вмешиваться в отношения сторон, если они носят исключительно гражданско-правовой характер, хотя при этом стороной спора и является хозяйствующий субъект, занимающий доминирующее положение на товарном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Cs/>
          <w:sz w:val="28"/>
          <w:szCs w:val="28"/>
        </w:rPr>
        <w:t xml:space="preserve">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Российской Федерации, </w:t>
      </w:r>
      <w:r w:rsidRPr="00D52262">
        <w:rPr>
          <w:rFonts w:ascii="Times New Roman" w:eastAsia="Calibri" w:hAnsi="Times New Roman" w:cs="Times New Roman"/>
          <w:sz w:val="28"/>
          <w:szCs w:val="28"/>
        </w:rPr>
        <w:t xml:space="preserve">отраженную в Определении от 04.07.2016 № 301-КГ16-1511 по делу № А82-777/2015. Согласно данной позиции гражданско-правовое нарушение без учета целей Закона о защите конкуренции, без установления обстоятельств, свидетельствующих о нарушении оператором почтовой 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w:t>
      </w:r>
      <w:proofErr w:type="spellStart"/>
      <w:r w:rsidRPr="00D52262">
        <w:rPr>
          <w:rFonts w:ascii="Times New Roman" w:eastAsia="Calibri" w:hAnsi="Times New Roman" w:cs="Times New Roman"/>
          <w:sz w:val="28"/>
          <w:szCs w:val="28"/>
        </w:rPr>
        <w:t>антиконкурентную</w:t>
      </w:r>
      <w:proofErr w:type="spellEnd"/>
      <w:r w:rsidRPr="00D52262">
        <w:rPr>
          <w:rFonts w:ascii="Times New Roman" w:eastAsia="Calibri" w:hAnsi="Times New Roman" w:cs="Times New Roman"/>
          <w:sz w:val="28"/>
          <w:szCs w:val="28"/>
        </w:rPr>
        <w:t xml:space="preserve"> направленность, привело или могло привести к недопущению, ограничению, устранению конкуренции и (или) ущемлению интересов других лиц и, соответственно, </w:t>
      </w:r>
      <w:r w:rsidRPr="00D52262">
        <w:rPr>
          <w:rFonts w:ascii="Times New Roman" w:eastAsia="Calibri" w:hAnsi="Times New Roman" w:cs="Times New Roman"/>
          <w:sz w:val="28"/>
          <w:szCs w:val="28"/>
        </w:rPr>
        <w:lastRenderedPageBreak/>
        <w:t>требует принятия мер антимонопольного регулирования - не является нарушением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2. Злоупотребление доминирующим положением, которое приводит к ограничению конкуренции на ином товарном рынке (рынках)</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w:t>
      </w:r>
      <w:r w:rsidRPr="00D52262">
        <w:rPr>
          <w:rFonts w:ascii="Times New Roman" w:eastAsia="Calibri" w:hAnsi="Times New Roman" w:cs="Times New Roman"/>
          <w:b/>
          <w:bCs/>
          <w:sz w:val="28"/>
          <w:szCs w:val="28"/>
        </w:rPr>
        <w:t xml:space="preserve"> не уточняет товарный рынок</w:t>
      </w:r>
      <w:r w:rsidRPr="00D52262">
        <w:rPr>
          <w:rFonts w:ascii="Times New Roman" w:eastAsia="Calibri" w:hAnsi="Times New Roman" w:cs="Times New Roman"/>
          <w:bCs/>
          <w:sz w:val="28"/>
          <w:szCs w:val="28"/>
        </w:rPr>
        <w:t xml:space="preserve">, на котором могут иметь место указанные последствия в виде недопущения, ограничения, устранения конкуренции.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Действия хозяйствующих субъектов на разных товарных рынках могут быть взаимозависимы и (или) </w:t>
      </w:r>
      <w:proofErr w:type="spellStart"/>
      <w:r w:rsidRPr="00D52262">
        <w:rPr>
          <w:rFonts w:ascii="Times New Roman" w:eastAsia="Calibri" w:hAnsi="Times New Roman" w:cs="Times New Roman"/>
          <w:sz w:val="28"/>
          <w:szCs w:val="28"/>
        </w:rPr>
        <w:t>взаимодополняемы</w:t>
      </w:r>
      <w:proofErr w:type="spellEnd"/>
      <w:r w:rsidRPr="00D52262">
        <w:rPr>
          <w:rFonts w:ascii="Times New Roman" w:eastAsia="Calibri" w:hAnsi="Times New Roman" w:cs="Times New Roman"/>
          <w:sz w:val="28"/>
          <w:szCs w:val="28"/>
        </w:rPr>
        <w:t>. Например, рынки,</w:t>
      </w:r>
      <w:r w:rsidRPr="00D52262">
        <w:rPr>
          <w:rFonts w:ascii="Times New Roman" w:eastAsia="Calibri" w:hAnsi="Times New Roman" w:cs="Times New Roman"/>
          <w:bCs/>
          <w:sz w:val="28"/>
          <w:szCs w:val="28"/>
        </w:rPr>
        <w:t xml:space="preserve"> на которых покупатели</w:t>
      </w:r>
      <w:r w:rsidRPr="00D52262">
        <w:rPr>
          <w:rFonts w:ascii="Times New Roman" w:eastAsia="Calibri" w:hAnsi="Times New Roman" w:cs="Times New Roman"/>
          <w:sz w:val="28"/>
          <w:szCs w:val="28"/>
        </w:rPr>
        <w:t xml:space="preserve"> </w:t>
      </w:r>
      <w:r w:rsidRPr="00D52262">
        <w:rPr>
          <w:rFonts w:ascii="Times New Roman" w:eastAsia="Calibri" w:hAnsi="Times New Roman" w:cs="Times New Roman"/>
          <w:bCs/>
          <w:sz w:val="28"/>
          <w:szCs w:val="28"/>
        </w:rPr>
        <w:t>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rsidR="00D52262" w:rsidRPr="00D52262" w:rsidRDefault="00D52262" w:rsidP="00D52262">
      <w:pPr>
        <w:autoSpaceDE w:val="0"/>
        <w:autoSpaceDN w:val="0"/>
        <w:adjustRightInd w:val="0"/>
        <w:spacing w:after="0" w:line="240" w:lineRule="auto"/>
        <w:ind w:firstLine="709"/>
        <w:jc w:val="both"/>
        <w:rPr>
          <w:rFonts w:ascii="Calibri" w:eastAsia="Calibri" w:hAnsi="Calibri" w:cs="Times New Roman"/>
        </w:rPr>
      </w:pPr>
      <w:r w:rsidRPr="00D52262">
        <w:rPr>
          <w:rFonts w:ascii="Times New Roman" w:eastAsia="Calibri" w:hAnsi="Times New Roman" w:cs="Times New Roman"/>
          <w:sz w:val="28"/>
          <w:szCs w:val="28"/>
        </w:rPr>
        <w:t xml:space="preserve">Таким образом, результатом действий (бездействия) доминирующего хозяйствующего субъекта на товарном рынке, где такой субъект доминирует, могут являться негативные последствия на </w:t>
      </w:r>
      <w:r w:rsidRPr="00D52262">
        <w:rPr>
          <w:rFonts w:ascii="Times New Roman" w:eastAsia="Calibri" w:hAnsi="Times New Roman" w:cs="Times New Roman"/>
          <w:b/>
          <w:sz w:val="28"/>
          <w:szCs w:val="28"/>
        </w:rPr>
        <w:t xml:space="preserve">иных рынках, на которых указанный субъект не доминирует. </w:t>
      </w:r>
      <w:r w:rsidRPr="00D52262">
        <w:rPr>
          <w:rFonts w:ascii="Times New Roman" w:eastAsia="Calibri" w:hAnsi="Times New Roman" w:cs="Times New Roman"/>
          <w:sz w:val="28"/>
          <w:szCs w:val="28"/>
        </w:rPr>
        <w:t>В некоторых нормативных правовых актах</w:t>
      </w:r>
      <w:r w:rsidRPr="00D52262">
        <w:rPr>
          <w:rFonts w:ascii="Times New Roman" w:eastAsia="Calibri" w:hAnsi="Times New Roman" w:cs="Times New Roman"/>
          <w:sz w:val="28"/>
          <w:szCs w:val="28"/>
          <w:vertAlign w:val="superscript"/>
        </w:rPr>
        <w:footnoteReference w:id="11"/>
      </w:r>
      <w:r w:rsidRPr="00D52262">
        <w:rPr>
          <w:rFonts w:ascii="Times New Roman" w:eastAsia="Calibri" w:hAnsi="Times New Roman" w:cs="Times New Roman"/>
          <w:sz w:val="28"/>
          <w:szCs w:val="28"/>
        </w:rPr>
        <w:t xml:space="preserve"> такие взаимосвязанные рынки именуются «</w:t>
      </w:r>
      <w:r w:rsidRPr="00D52262">
        <w:rPr>
          <w:rFonts w:ascii="Times New Roman" w:eastAsia="Calibri" w:hAnsi="Times New Roman" w:cs="Times New Roman"/>
          <w:b/>
          <w:i/>
          <w:sz w:val="28"/>
          <w:szCs w:val="28"/>
        </w:rPr>
        <w:t>смежными</w:t>
      </w:r>
      <w:r w:rsidRPr="00D52262">
        <w:rPr>
          <w:rFonts w:ascii="Times New Roman" w:eastAsia="Calibri" w:hAnsi="Times New Roman" w:cs="Times New Roman"/>
          <w:sz w:val="28"/>
          <w:szCs w:val="28"/>
        </w:rPr>
        <w:t xml:space="preserve">».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Особое внимание следует уделять </w:t>
      </w:r>
      <w:r w:rsidRPr="00D52262">
        <w:rPr>
          <w:rFonts w:ascii="Times New Roman" w:eastAsia="Calibri" w:hAnsi="Times New Roman" w:cs="Times New Roman"/>
          <w:b/>
          <w:bCs/>
          <w:sz w:val="28"/>
          <w:szCs w:val="28"/>
        </w:rPr>
        <w:t>вопросам доказывания</w:t>
      </w:r>
      <w:r w:rsidRPr="00D52262">
        <w:rPr>
          <w:rFonts w:ascii="Times New Roman" w:eastAsia="Calibri" w:hAnsi="Times New Roman" w:cs="Times New Roman"/>
          <w:bCs/>
          <w:sz w:val="28"/>
          <w:szCs w:val="28"/>
        </w:rPr>
        <w:t xml:space="preserve">, поскольку они имеют непосредственное влияние на правильность квалификации деяния. </w:t>
      </w:r>
    </w:p>
    <w:p w:rsidR="00D52262" w:rsidRPr="00D52262" w:rsidRDefault="00D52262" w:rsidP="00D52262">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Процесс доказывания негативных последствий на иных товарных рынках складывается, в том числе из установления и доказывания следующих необходимых обстоятельств:</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совершения действий (бездействия) на товарном рынке, где доминирует хозяйствующий субъект (далее – «рынок доминирования»);</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доминирующего положения хозяйствующего субъекта на указанном рынке</w:t>
      </w:r>
      <w:r w:rsidRPr="00D52262">
        <w:rPr>
          <w:rFonts w:ascii="Times New Roman" w:eastAsia="Calibri" w:hAnsi="Times New Roman" w:cs="Times New Roman"/>
          <w:bCs/>
          <w:sz w:val="28"/>
          <w:szCs w:val="28"/>
          <w:vertAlign w:val="superscript"/>
        </w:rPr>
        <w:footnoteReference w:id="12"/>
      </w:r>
      <w:r w:rsidRPr="00D52262">
        <w:rPr>
          <w:rFonts w:ascii="Times New Roman" w:eastAsia="Calibri" w:hAnsi="Times New Roman" w:cs="Times New Roman"/>
          <w:bCs/>
          <w:sz w:val="28"/>
          <w:szCs w:val="28"/>
        </w:rPr>
        <w:t>;</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указание иного товарного рынка, наступление (возможность наступления) негативных последствий на котором устанавливается; </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наступление или возможность наступления негативных последствий на ином (смежном) товарном рынке;</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объективная взаимосвязь между действиями (бездействием) субъекта</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bCs/>
          <w:sz w:val="28"/>
          <w:szCs w:val="28"/>
        </w:rPr>
        <w:t>и наступлением или возможностью наступления негативных последствий на смежном рынке</w:t>
      </w:r>
      <w:r w:rsidRPr="00D52262">
        <w:rPr>
          <w:rFonts w:ascii="Times New Roman" w:eastAsia="Calibri" w:hAnsi="Times New Roman" w:cs="Times New Roman"/>
          <w:b/>
          <w:sz w:val="28"/>
          <w:szCs w:val="28"/>
        </w:rPr>
        <w:t>.</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отметить, что </w:t>
      </w:r>
      <w:r w:rsidRPr="00D52262">
        <w:rPr>
          <w:rFonts w:ascii="Times New Roman" w:eastAsia="Calibri" w:hAnsi="Times New Roman" w:cs="Times New Roman"/>
          <w:b/>
          <w:bCs/>
          <w:sz w:val="28"/>
          <w:szCs w:val="28"/>
        </w:rPr>
        <w:t xml:space="preserve">ограничение конкуренции на смежных рынках может быть допустимо </w:t>
      </w:r>
      <w:r w:rsidRPr="00D52262">
        <w:rPr>
          <w:rFonts w:ascii="Times New Roman" w:eastAsia="Calibri" w:hAnsi="Times New Roman" w:cs="Times New Roman"/>
          <w:bCs/>
          <w:sz w:val="28"/>
          <w:szCs w:val="28"/>
        </w:rPr>
        <w:t>(в соответствии с положениями части 2 статьи 10 Закона о защите конкуренции, части 1 статьи 13 Закона о защите конкуренции). При определении последствий в виде ограничения 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Антимонопольному органу следует в первую очередь установить, </w:t>
      </w:r>
      <w:r w:rsidRPr="00D52262">
        <w:rPr>
          <w:rFonts w:ascii="Times New Roman" w:eastAsia="Calibri" w:hAnsi="Times New Roman" w:cs="Times New Roman"/>
          <w:b/>
          <w:bCs/>
          <w:sz w:val="28"/>
          <w:szCs w:val="28"/>
        </w:rPr>
        <w:t>на каком товарном рынке совершены рассматриваемые действия</w:t>
      </w:r>
      <w:r w:rsidRPr="00D52262">
        <w:rPr>
          <w:rFonts w:ascii="Times New Roman" w:eastAsia="Calibri" w:hAnsi="Times New Roman" w:cs="Times New Roman"/>
          <w:bCs/>
          <w:sz w:val="28"/>
          <w:szCs w:val="28"/>
        </w:rPr>
        <w:t xml:space="preserve"> (бездействие) доминирующего хозяйствующего субъекта.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Антимонопольный орган должен во всех случаях устанавливать наличие или отсутствие доминирующего положения хозяйствующего субъекта именно на том товарном рынке, на котором совершены спорные действия (допущено бездействие).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д) снижение рисков нарушения долгосрочных договоров поставщиками или подрядчиками и т.д.</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осуществление доминирующим хозяйствующим субъектом деятельности на смежных товарных рынках, равно как и само состояние «смежности» не создают риски ограничения конкуренции. Именно поэтому, если доминирующий на одном рынке хозяйствующий субъект совершает действия (бездействие)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sz w:val="28"/>
          <w:szCs w:val="28"/>
        </w:rPr>
        <w:t xml:space="preserve">При установлении объективной взаимосвязи между злоупотреблением доминирующим положением с ограничением конкуренции на смежном рынке необходимо, во-первых, устанавливать экономическую и (или) 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При этом само по себе наличие смежных рынков не означает необходимость оценки последствий либо угрозы наступления </w:t>
      </w:r>
      <w:r w:rsidRPr="00D52262">
        <w:rPr>
          <w:rFonts w:ascii="Times New Roman" w:eastAsia="Calibri" w:hAnsi="Times New Roman" w:cs="Times New Roman"/>
          <w:sz w:val="28"/>
          <w:szCs w:val="28"/>
        </w:rPr>
        <w:lastRenderedPageBreak/>
        <w:t>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в виде</w:t>
      </w:r>
      <w:r w:rsidRPr="00D52262">
        <w:rPr>
          <w:rFonts w:ascii="Times New Roman" w:eastAsia="Calibri" w:hAnsi="Times New Roman" w:cs="Times New Roman"/>
          <w:b/>
          <w:sz w:val="28"/>
          <w:szCs w:val="28"/>
        </w:rPr>
        <w:t xml:space="preserve"> </w:t>
      </w:r>
      <w:r w:rsidRPr="00D52262">
        <w:rPr>
          <w:rFonts w:ascii="Times New Roman" w:hAnsi="Times New Roman" w:cs="Times New Roman"/>
          <w:sz w:val="28"/>
          <w:szCs w:val="28"/>
        </w:rPr>
        <w:t>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w:t>
      </w:r>
      <w:r w:rsidRPr="00D52262">
        <w:rPr>
          <w:rFonts w:ascii="Times New Roman" w:eastAsia="Calibri" w:hAnsi="Times New Roman" w:cs="Times New Roman"/>
          <w:sz w:val="28"/>
          <w:szCs w:val="28"/>
        </w:rPr>
        <w:t xml:space="preserve">) на другом.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использование которых необходимо (технологически или экономически) для производства и транспортировки товаров (выполнения работ, оказания услуг), составляющих продуктовые границы иного товарного рынка, в том числе в качестве необходимой (ключевой) инфраструктуры, либо</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 либо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которые являются необходимым дополнением при потреблении либо реализации иных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w:t>
      </w:r>
      <w:r w:rsidRPr="00D52262">
        <w:rPr>
          <w:rFonts w:ascii="Times New Roman" w:eastAsia="Calibri" w:hAnsi="Times New Roman" w:cs="Times New Roman"/>
          <w:b/>
          <w:bCs/>
          <w:i/>
          <w:sz w:val="28"/>
          <w:szCs w:val="28"/>
        </w:rPr>
        <w:t>присутствие доминирующего субъекта как участника одновременно двух смежных товарных рынках.</w:t>
      </w:r>
      <w:r w:rsidRPr="00D52262">
        <w:rPr>
          <w:rFonts w:ascii="Times New Roman" w:eastAsia="Calibri" w:hAnsi="Times New Roman" w:cs="Times New Roman"/>
          <w:bCs/>
          <w:sz w:val="28"/>
          <w:szCs w:val="28"/>
        </w:rPr>
        <w:t xml:space="preserve"> В случае, когда доминирующий хозяйствующий субъект одновременно действует на двух рынках, он может: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w:t>
      </w:r>
      <w:r w:rsidRPr="00D52262">
        <w:rPr>
          <w:rFonts w:ascii="Times New Roman" w:eastAsia="Calibri" w:hAnsi="Times New Roman" w:cs="Times New Roman"/>
          <w:bCs/>
          <w:sz w:val="28"/>
          <w:szCs w:val="28"/>
        </w:rPr>
        <w:lastRenderedPageBreak/>
        <w:t>рынке услуг доступа к сети Интернет (Решение ФАС России от 08.06.2009 № АГ/17658).</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w:t>
      </w:r>
      <w:r w:rsidRPr="00D52262">
        <w:rPr>
          <w:rFonts w:ascii="Times New Roman" w:eastAsia="Calibri" w:hAnsi="Times New Roman" w:cs="Times New Roman"/>
          <w:bCs/>
          <w:i/>
          <w:iCs/>
          <w:sz w:val="28"/>
          <w:szCs w:val="28"/>
        </w:rPr>
        <w:t>менее</w:t>
      </w:r>
      <w:r w:rsidRPr="00D52262">
        <w:rPr>
          <w:rFonts w:ascii="Times New Roman" w:eastAsia="Calibri" w:hAnsi="Times New Roman" w:cs="Times New Roman"/>
          <w:bCs/>
          <w:sz w:val="28"/>
          <w:szCs w:val="28"/>
        </w:rPr>
        <w:t xml:space="preserve"> 50% на рынке пропуска местного трафика и с долей значительно </w:t>
      </w:r>
      <w:r w:rsidRPr="00D52262">
        <w:rPr>
          <w:rFonts w:ascii="Times New Roman" w:eastAsia="Calibri" w:hAnsi="Times New Roman" w:cs="Times New Roman"/>
          <w:bCs/>
          <w:i/>
          <w:iCs/>
          <w:sz w:val="28"/>
          <w:szCs w:val="28"/>
        </w:rPr>
        <w:t>больше</w:t>
      </w:r>
      <w:r w:rsidRPr="00D52262">
        <w:rPr>
          <w:rFonts w:ascii="Times New Roman" w:eastAsia="Calibri" w:hAnsi="Times New Roman" w:cs="Times New Roman"/>
          <w:bCs/>
          <w:sz w:val="28"/>
          <w:szCs w:val="28"/>
        </w:rPr>
        <w:t xml:space="preserve"> 70% на рынке пропуска </w:t>
      </w:r>
      <w:proofErr w:type="spellStart"/>
      <w:r w:rsidRPr="00D52262">
        <w:rPr>
          <w:rFonts w:ascii="Times New Roman" w:eastAsia="Calibri" w:hAnsi="Times New Roman" w:cs="Times New Roman"/>
          <w:bCs/>
          <w:sz w:val="28"/>
          <w:szCs w:val="28"/>
        </w:rPr>
        <w:t>зонового</w:t>
      </w:r>
      <w:proofErr w:type="spellEnd"/>
      <w:r w:rsidRPr="00D52262">
        <w:rPr>
          <w:rFonts w:ascii="Times New Roman" w:eastAsia="Calibri" w:hAnsi="Times New Roman" w:cs="Times New Roman"/>
          <w:bCs/>
          <w:sz w:val="28"/>
          <w:szCs w:val="28"/>
        </w:rPr>
        <w:t xml:space="preserve"> трафика. Отказ в пропуске на местном уровне трафика, прошедшего через </w:t>
      </w:r>
      <w:proofErr w:type="spellStart"/>
      <w:r w:rsidRPr="00D52262">
        <w:rPr>
          <w:rFonts w:ascii="Times New Roman" w:eastAsia="Calibri" w:hAnsi="Times New Roman" w:cs="Times New Roman"/>
          <w:bCs/>
          <w:sz w:val="28"/>
          <w:szCs w:val="28"/>
        </w:rPr>
        <w:t>зоновые</w:t>
      </w:r>
      <w:proofErr w:type="spellEnd"/>
      <w:r w:rsidRPr="00D52262">
        <w:rPr>
          <w:rFonts w:ascii="Times New Roman" w:eastAsia="Calibri" w:hAnsi="Times New Roman" w:cs="Times New Roman"/>
          <w:bCs/>
          <w:sz w:val="28"/>
          <w:szCs w:val="28"/>
        </w:rPr>
        <w:t xml:space="preserve"> узлы связи других операторов, мог приводить к поддержанию и усилению доминирующего положения (и так близкого к монопольному) на рынке пропуска </w:t>
      </w:r>
      <w:proofErr w:type="spellStart"/>
      <w:r w:rsidRPr="00D52262">
        <w:rPr>
          <w:rFonts w:ascii="Times New Roman" w:eastAsia="Calibri" w:hAnsi="Times New Roman" w:cs="Times New Roman"/>
          <w:bCs/>
          <w:sz w:val="28"/>
          <w:szCs w:val="28"/>
        </w:rPr>
        <w:t>зонового</w:t>
      </w:r>
      <w:proofErr w:type="spellEnd"/>
      <w:r w:rsidRPr="00D52262">
        <w:rPr>
          <w:rFonts w:ascii="Times New Roman" w:eastAsia="Calibri" w:hAnsi="Times New Roman" w:cs="Times New Roman"/>
          <w:bCs/>
          <w:sz w:val="28"/>
          <w:szCs w:val="28"/>
        </w:rPr>
        <w:t xml:space="preserve"> трафика (дело № А40-80583/10).</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Влияние </w:t>
      </w:r>
      <w:r w:rsidRPr="00D52262">
        <w:rPr>
          <w:rFonts w:ascii="Times New Roman" w:eastAsia="Calibri" w:hAnsi="Times New Roman" w:cs="Times New Roman"/>
          <w:bCs/>
          <w:i/>
          <w:iCs/>
          <w:sz w:val="28"/>
          <w:szCs w:val="28"/>
        </w:rPr>
        <w:t>на предложение</w:t>
      </w:r>
      <w:r w:rsidRPr="00D52262">
        <w:rPr>
          <w:rFonts w:ascii="Times New Roman" w:eastAsia="Calibri" w:hAnsi="Times New Roman" w:cs="Times New Roman"/>
          <w:bCs/>
          <w:sz w:val="28"/>
          <w:szCs w:val="28"/>
        </w:rPr>
        <w:t xml:space="preserve"> на смежном товарном рынке может состоять в ограничении возможности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 в последующем на ином товарном рынке, путем отказа от поставки, установления монопольно высокой цены или дискриминационных цен.</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Такие примеры на рынках услуг связи рассмотрены выше. Действия могут также оказывать влияние </w:t>
      </w:r>
      <w:r w:rsidRPr="00D52262">
        <w:rPr>
          <w:rFonts w:ascii="Times New Roman" w:eastAsia="Calibri" w:hAnsi="Times New Roman" w:cs="Times New Roman"/>
          <w:bCs/>
          <w:i/>
          <w:iCs/>
          <w:sz w:val="28"/>
          <w:szCs w:val="28"/>
        </w:rPr>
        <w:t>на спрос</w:t>
      </w:r>
      <w:r w:rsidRPr="00D52262">
        <w:rPr>
          <w:rFonts w:ascii="Times New Roman" w:eastAsia="Calibri" w:hAnsi="Times New Roman" w:cs="Times New Roman"/>
          <w:bCs/>
          <w:sz w:val="28"/>
          <w:szCs w:val="28"/>
        </w:rPr>
        <w:t xml:space="preserve"> на смежном товарном рынке путем экономически или технологически необоснованного ограничения возможности выбора потребителей, например, путем несовместимости взаимодополняющих товаров, одновременно продажи взаимодополняющих товаров без возможности приобретения их отдельно.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возможность создания доминирующим хозяйствующим субъектом </w:t>
      </w:r>
      <w:r w:rsidRPr="00D52262">
        <w:rPr>
          <w:rFonts w:ascii="Times New Roman" w:eastAsia="Calibri" w:hAnsi="Times New Roman" w:cs="Times New Roman"/>
          <w:b/>
          <w:bCs/>
          <w:sz w:val="28"/>
          <w:szCs w:val="28"/>
        </w:rPr>
        <w:t>препятствий доступу на товарный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отношения в электроэнергетике организованы в форме </w:t>
      </w:r>
      <w:r w:rsidRPr="00D52262">
        <w:rPr>
          <w:rFonts w:ascii="Times New Roman" w:eastAsia="Calibri" w:hAnsi="Times New Roman" w:cs="Times New Roman"/>
          <w:bCs/>
          <w:i/>
          <w:sz w:val="28"/>
          <w:szCs w:val="28"/>
        </w:rPr>
        <w:t>двухуровневой системы</w:t>
      </w:r>
      <w:r w:rsidRPr="00D52262">
        <w:rPr>
          <w:rFonts w:ascii="Times New Roman" w:eastAsia="Calibri" w:hAnsi="Times New Roman" w:cs="Times New Roman"/>
          <w:bCs/>
          <w:sz w:val="28"/>
          <w:szCs w:val="28"/>
        </w:rPr>
        <w:t>: оптовый и розничные рынки.</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отрицательные последствия, предусмотренные статьей 10 Закона о защите конкуренции, могут иметь место как на оптовом рынке, так и на розничном.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рассматриваемого случая является дело № А40-144041/10, в котором имела место ситуация двойственности последствий: как для рынка, на котором действует доминирующий хозяйствующий субъект, так и для смежного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Из позиции Президиума Высшего Арбитражного Суда Российской Федерации</w:t>
      </w:r>
      <w:r w:rsidRPr="00D52262">
        <w:rPr>
          <w:rFonts w:ascii="Times New Roman" w:eastAsia="Calibri" w:hAnsi="Times New Roman" w:cs="Times New Roman"/>
          <w:bCs/>
          <w:sz w:val="28"/>
          <w:szCs w:val="28"/>
          <w:vertAlign w:val="superscript"/>
        </w:rPr>
        <w:footnoteReference w:id="13"/>
      </w:r>
      <w:r w:rsidRPr="00D52262">
        <w:rPr>
          <w:rFonts w:ascii="Times New Roman" w:eastAsia="Calibri" w:hAnsi="Times New Roman" w:cs="Times New Roman"/>
          <w:bCs/>
          <w:sz w:val="28"/>
          <w:szCs w:val="28"/>
        </w:rPr>
        <w:t xml:space="preserve"> следует, что при квалификации деяния со сходными фактическими обстоятельствами важно: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установить наличие отрицательных последствий, предусмотренных статьей 10 Закона о защите конкуренции, как на оптовом рынке, так и на розничном;</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влияние как на рынок доминирования, так и на иной рынок (в данном случае смежный).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Возможны ситуации, когда </w:t>
      </w:r>
      <w:r w:rsidRPr="00D52262">
        <w:rPr>
          <w:rFonts w:ascii="Times New Roman" w:eastAsia="Calibri" w:hAnsi="Times New Roman" w:cs="Times New Roman"/>
          <w:b/>
          <w:bCs/>
          <w:i/>
          <w:sz w:val="28"/>
          <w:szCs w:val="28"/>
        </w:rPr>
        <w:t>доминирующий хозяйствующий субъект оказывает влияние на смежные товарные рынки, на которых он не присутствует.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квалификации такого злоупотребления может использоваться доктрина </w:t>
      </w:r>
      <w:proofErr w:type="spellStart"/>
      <w:r w:rsidRPr="00D52262">
        <w:rPr>
          <w:rFonts w:ascii="Times New Roman" w:eastAsia="Calibri" w:hAnsi="Times New Roman" w:cs="Times New Roman"/>
          <w:bCs/>
          <w:sz w:val="28"/>
          <w:szCs w:val="28"/>
        </w:rPr>
        <w:t>essential</w:t>
      </w:r>
      <w:proofErr w:type="spellEnd"/>
      <w:r w:rsidRPr="00D52262">
        <w:rPr>
          <w:rFonts w:ascii="Times New Roman" w:eastAsia="Calibri" w:hAnsi="Times New Roman" w:cs="Times New Roman"/>
          <w:bCs/>
          <w:sz w:val="28"/>
          <w:szCs w:val="28"/>
        </w:rPr>
        <w:t xml:space="preserve"> </w:t>
      </w:r>
      <w:proofErr w:type="spellStart"/>
      <w:r w:rsidRPr="00D52262">
        <w:rPr>
          <w:rFonts w:ascii="Times New Roman" w:eastAsia="Calibri" w:hAnsi="Times New Roman" w:cs="Times New Roman"/>
          <w:bCs/>
          <w:sz w:val="28"/>
          <w:szCs w:val="28"/>
        </w:rPr>
        <w:t>facilities</w:t>
      </w:r>
      <w:proofErr w:type="spellEnd"/>
      <w:r w:rsidRPr="00D52262">
        <w:rPr>
          <w:rFonts w:ascii="Times New Roman" w:eastAsia="Calibri" w:hAnsi="Times New Roman" w:cs="Times New Roman"/>
          <w:bCs/>
          <w:sz w:val="28"/>
          <w:szCs w:val="28"/>
        </w:rPr>
        <w:t>/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наличие доминирующего положения у хозяйствующего субъекта на рынке доминирования;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наличие потребительского спроса на товар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w:t>
      </w:r>
      <w:r w:rsidRPr="00D52262">
        <w:rPr>
          <w:rFonts w:ascii="Times New Roman" w:eastAsia="Calibri" w:hAnsi="Times New Roman" w:cs="Times New Roman"/>
          <w:bCs/>
          <w:sz w:val="28"/>
          <w:szCs w:val="28"/>
        </w:rPr>
        <w:lastRenderedPageBreak/>
        <w:t xml:space="preserve">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субъектом, действующим на смежном рынке). Такая ситуация характерна при полностью монополизированных рынках, когда в разумной перспективе не ожидается возникновение конкуренции на них;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г)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статьей 13 Закона о защите конкуренции, обосновывающих допустимость действий доминирующего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Рассматриваемая форма злоупотребления доминирующим положением ограничена и разделена на два самостоятельных состава:</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 ущемление интересов других лиц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б) ущемление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Исходя из рассматриваемой формулировки ущемляемые интересы должны непосредственно затрагивать именно предпринимательскую деятельность хозяйствующего субъекта.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w:t>
      </w:r>
      <w:r w:rsidRPr="00D52262">
        <w:rPr>
          <w:rFonts w:ascii="Times New Roman" w:eastAsia="Calibri" w:hAnsi="Times New Roman" w:cs="Times New Roman"/>
          <w:sz w:val="28"/>
          <w:szCs w:val="28"/>
        </w:rPr>
        <w:lastRenderedPageBreak/>
        <w:t>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абзацу 3 части 1 статьи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ущемлены/могут быть ущемлены в результате злоупотребления доминирующим положением, относятся к сфере предпринимательской деятельности. 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 xml:space="preserve">Примером описываемой ситуации может являться дело № А06-4111/2015. </w:t>
      </w:r>
      <w:r w:rsidRPr="00D52262">
        <w:rPr>
          <w:rFonts w:ascii="Times New Roman" w:eastAsia="Times New Roman" w:hAnsi="Times New Roman" w:cs="Times New Roman"/>
          <w:sz w:val="28"/>
          <w:szCs w:val="28"/>
          <w:lang w:eastAsia="ru-RU"/>
        </w:rPr>
        <w:t xml:space="preserve">В рассматриваемом случае действия общества повлекли ущемление интересов хозяйствующего субъекта ООО ПКФ «Консалтинг </w:t>
      </w:r>
      <w:proofErr w:type="spellStart"/>
      <w:r w:rsidRPr="00D52262">
        <w:rPr>
          <w:rFonts w:ascii="Times New Roman" w:eastAsia="Times New Roman" w:hAnsi="Times New Roman" w:cs="Times New Roman"/>
          <w:sz w:val="28"/>
          <w:szCs w:val="28"/>
          <w:lang w:eastAsia="ru-RU"/>
        </w:rPr>
        <w:t>Проф</w:t>
      </w:r>
      <w:proofErr w:type="spellEnd"/>
      <w:r w:rsidRPr="00D52262">
        <w:rPr>
          <w:rFonts w:ascii="Times New Roman" w:eastAsia="Times New Roman" w:hAnsi="Times New Roman" w:cs="Times New Roman"/>
          <w:sz w:val="28"/>
          <w:szCs w:val="28"/>
          <w:lang w:eastAsia="ru-RU"/>
        </w:rPr>
        <w:t xml:space="preserve">», являющегося посредником между </w:t>
      </w:r>
      <w:proofErr w:type="spellStart"/>
      <w:r w:rsidRPr="00D52262">
        <w:rPr>
          <w:rFonts w:ascii="Times New Roman" w:eastAsia="Times New Roman" w:hAnsi="Times New Roman" w:cs="Times New Roman"/>
          <w:sz w:val="28"/>
          <w:szCs w:val="28"/>
          <w:lang w:eastAsia="ru-RU"/>
        </w:rPr>
        <w:t>энергоснабжающей</w:t>
      </w:r>
      <w:proofErr w:type="spellEnd"/>
      <w:r w:rsidRPr="00D52262">
        <w:rPr>
          <w:rFonts w:ascii="Times New Roman" w:eastAsia="Times New Roman" w:hAnsi="Times New Roman" w:cs="Times New Roman"/>
          <w:sz w:val="28"/>
          <w:szCs w:val="28"/>
          <w:lang w:eastAsia="ru-RU"/>
        </w:rPr>
        <w:t xml:space="preserve">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части 1 статьи 10 Закона о конкуренции.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Российской Федерации от 04.07.2016 №</w:t>
      </w:r>
      <w:r w:rsidRPr="00D52262">
        <w:rPr>
          <w:rFonts w:ascii="Times New Roman" w:eastAsia="Times New Roman" w:hAnsi="Times New Roman" w:cs="Times New Roman"/>
          <w:sz w:val="28"/>
          <w:szCs w:val="28"/>
          <w:lang w:eastAsia="ru-RU"/>
        </w:rPr>
        <w:t xml:space="preserve"> 301-КГ16-1511 по делу № А82-777/2015</w:t>
      </w:r>
      <w:r w:rsidRPr="00D52262">
        <w:rPr>
          <w:rFonts w:ascii="Times New Roman" w:eastAsia="Calibri" w:hAnsi="Times New Roman" w:cs="Times New Roman"/>
          <w:sz w:val="28"/>
          <w:szCs w:val="28"/>
        </w:rPr>
        <w:t>) при условии, что ущемление не будет затрагивать неопределенный круг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  </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lastRenderedPageBreak/>
        <w:t>Применительно к ущемлению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Федеральным законом от 05.10.2015 № 275-ФЗ статья 4 Закона о защите конкуренции дополнена пунктом 23, в соответствии с которым потребитель – юридическое лицо или физическое лицо, приобретающие товар.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 Так, например, потребителями являются: физическое лицо, приобретающее товар для личного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r w:rsidRPr="00D52262">
        <w:rPr>
          <w:rFonts w:ascii="Times New Roman" w:eastAsia="Calibri" w:hAnsi="Times New Roman" w:cs="Times New Roman"/>
          <w:sz w:val="28"/>
          <w:szCs w:val="28"/>
          <w:vertAlign w:val="superscript"/>
          <w:lang w:eastAsia="ru-RU"/>
        </w:rPr>
        <w:footnoteReference w:id="14"/>
      </w:r>
      <w:r w:rsidRP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rsidR="00D52262" w:rsidRPr="00D52262" w:rsidRDefault="00D52262" w:rsidP="00D522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52262">
        <w:rPr>
          <w:rFonts w:ascii="Times New Roman" w:eastAsia="Calibri" w:hAnsi="Times New Roman" w:cs="Times New Roman"/>
          <w:b/>
          <w:sz w:val="28"/>
          <w:szCs w:val="28"/>
        </w:rPr>
        <w:t>4. Предупреждение о прекращении злоупотребления доминирующим положением</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lastRenderedPageBreak/>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w:t>
      </w:r>
      <w:r w:rsidRPr="00D52262">
        <w:rPr>
          <w:rFonts w:ascii="Times New Roman" w:eastAsia="Times New Roman" w:hAnsi="Times New Roman" w:cs="Times New Roman"/>
          <w:sz w:val="28"/>
          <w:szCs w:val="28"/>
          <w:vertAlign w:val="superscript"/>
        </w:rPr>
        <w:footnoteReference w:id="15"/>
      </w:r>
      <w:r w:rsidRPr="00D52262">
        <w:rPr>
          <w:rFonts w:ascii="Times New Roman" w:eastAsia="Times New Roman" w:hAnsi="Times New Roman" w:cs="Times New Roman"/>
          <w:sz w:val="28"/>
          <w:szCs w:val="28"/>
        </w:rPr>
        <w:t xml:space="preserve"> предусмотрена выдача предупреждений в случае выявления признаков нарушения доминирующим субъектом также: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а) пункта 6 части 1 статьи 10 Закона о защите конкуренции (экономически, технологически и иным образом не обоснованное установление различных цен);</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б) пункта 8 части 1 статьи 10 Закона о защите конкуренции (создание дискриминационных условий).</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Принятие антимонопольным органом решения о возбуждении дела о нарушении запретов, предусмотренных пунктами 3, 5, 6, 8 части 1 статьи 10 Закона о защите конкуренции, без вынесения предупреждения и до завершения срока его выполнения не допускается.</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предупреждения является обязательной, то следует выдавать предупреждение. Возбуждать дело по части 1 статьи 10 Закона о защите конкуренции в таком случае недопустимо.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В том случае, когда доминирующим хозяйствующим субъектом совершены действия, которые содержат признаки нарушения одновременно пунктов 3, 5, 6, 8 части 1 статьи 10 Закона о защите конкуренции, требующих выдачи предупреждения, и иных запретов, предусмотренных частью 1 статьи 10 Закона о защите конкуренции, антимонопольному органу следует выдать предупреждение по признакам нарушения пунктов 3, 5, 6, 8 части 1 статьи 10 Закона о защите конкуренции, а в отношении действий, подпадающих под иные запреты, рассмотреть вопрос о возбуждении дела.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4 статьи 39¹ Закона о защите конкуренции предупреждение должно содержать:</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1) выводы о наличии оснований для его выдачи;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2) нормы антимонопольного законодательства, которые нарушены действиями (бездействием) лица, которому выдается предупреждение;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 xml:space="preserve">Приказом ФАС России от 22.01.2016 № 57/16 утвержден </w:t>
      </w:r>
      <w:hyperlink r:id="rId32" w:history="1">
        <w:r w:rsidRPr="00D52262">
          <w:rPr>
            <w:rFonts w:ascii="Times New Roman" w:eastAsia="Calibri" w:hAnsi="Times New Roman" w:cs="Times New Roman"/>
            <w:sz w:val="28"/>
            <w:szCs w:val="28"/>
          </w:rPr>
          <w:t>Порядок</w:t>
        </w:r>
      </w:hyperlink>
      <w:r w:rsidRPr="00D52262">
        <w:rPr>
          <w:rFonts w:ascii="Times New Roman" w:eastAsia="Calibri" w:hAnsi="Times New Roman" w:cs="Times New Roman"/>
          <w:sz w:val="28"/>
          <w:szCs w:val="28"/>
        </w:rPr>
        <w:t xml:space="preserve"> выдачи предупреждения о прекращении действий (бездействия), которые содержат признаки нарушения антимонопольного законодательства, а также форма такого предупреждения (далее – Порядок № 57/16).</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Как следует из норм Закона о защите конкуренции, предупреждение по пунктам 3, 5, 6, 8 части 1 статьи 10 Закона о защите конкуренции выдается только хозяйствующему субъекту, занимающему доминирующее положение на определенном товарном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b/>
          <w:sz w:val="28"/>
          <w:szCs w:val="28"/>
          <w:lang w:eastAsia="ru-RU"/>
        </w:rPr>
        <w:t>Полнота и этапы</w:t>
      </w:r>
      <w:r w:rsidRPr="00D52262">
        <w:rPr>
          <w:rFonts w:ascii="Times New Roman" w:eastAsia="Times New Roman" w:hAnsi="Times New Roman" w:cs="Times New Roman"/>
          <w:sz w:val="28"/>
          <w:szCs w:val="28"/>
          <w:lang w:eastAsia="ru-RU"/>
        </w:rPr>
        <w:t xml:space="preserve"> проведения анализа состояния конкуренции на товарном рынке определены в пункте 1.3 Порядка анализа состояния конкуренции. Данным пунктом также предусмотрено, что по делам, возбужденным по признакам нарушения статьи 10 Закона о защите конкуренции субъектом естественной монополии на рынке, функционирующем в условиях естественной монополии, обзор состояния 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пунктом 11.3 Порядка анализа состояния конкуренции составляется краткое описание полученных результатов (краткий отчет (обзор)).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проведении анализа состояния конкуренции в целях установления доминирующего положения кредитных организаций при осуществлении ими банковских операций антимонопольным органам следует учитывать особенности проведения данного анализа, установленные приказом ФАС России от 26.08.2012 № 433.</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Предупреждение в период рассмотрения дела о нарушении антимонопольного законодательства в случае выявления признаков нарушения пунктов 3, 5, 6 и 8 части 1 статьи 10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необходимо иметь в виду, что если доминирующее положение хозяйствующего субъекта было установлено при возбуждении дела о нарушении антимонопольного законодательства (например, дело возбуждено по признакам нарушения статьи 1 статьи 10 Закона о защите конкуренции), то проведение повторного анализа состояния конкуренции для целей выдачи предупреждения по признакам нарушения пунктов 3, 5, 6 или 8 части 1 статьи 10 Закона о защите конкуренции в период рассмотрения дела не требуется.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Если же дело было возбуждено по признакам нарушений, не связанных с доминированием, то при установлении признаков нарушения пунктов 3, 5, 6 или 8 части 1 статьи 10 Закона о защите конкуренции необходимо будет </w:t>
      </w:r>
      <w:r w:rsidRPr="00D52262">
        <w:rPr>
          <w:rFonts w:ascii="Times New Roman" w:eastAsia="Calibri" w:hAnsi="Times New Roman" w:cs="Times New Roman"/>
          <w:bCs/>
          <w:sz w:val="28"/>
          <w:szCs w:val="28"/>
        </w:rPr>
        <w:lastRenderedPageBreak/>
        <w:t>провести анализ состояния конкуренции и установить доминирующее положение хозяйствующего субъекта в соответствии с требованиями Порядка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принятии решения об отказе в возбуждении дела о нарушении статьи 10 Закона о защите конкуренции в виду отсутствия признаков нарушения антимонопольного законодательства проводить анализ состояния 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 в соответствии с пунктом 3.16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25.05.2012 № 345,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Поскольку в соответствии с пунктом 1 части 4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 (кратком отчете (обзоре)), составленном по результатам проведения анализа состояния конкуренции, то антимонопольным органом по запросу хозяйствующего субъекта, которому выдано предупреждение, предоставляется для ознакомления этому хозяйствующему субъекту аналитический отчет (краткий отчет (обзор)), послуживший основанием для выдачи предупреждения, с соблюдением требований, предусмотренных законом о государственной и иной охраняемой законом тайне.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части 5 статьи 39¹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 и лицо, которому выдано такое предупреждение до истечения срока, установленного в предупреждении, заявило мотивированное ходатайство о продлении срока </w:t>
      </w:r>
      <w:r w:rsidRPr="00D52262">
        <w:rPr>
          <w:rFonts w:ascii="Times New Roman" w:eastAsia="Times New Roman" w:hAnsi="Times New Roman" w:cs="Times New Roman"/>
          <w:sz w:val="28"/>
          <w:szCs w:val="28"/>
          <w:lang w:eastAsia="ru-RU"/>
        </w:rPr>
        <w:lastRenderedPageBreak/>
        <w:t xml:space="preserve">его выполнения, то антимонопольный орган, рассмотрев такое ходатайство, может принять решение о продлении срока выполнения предупреждения.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Учитывая, что специальная форма для решения о продлении срока выполнения предупреждения положениями Закона о защите конкуренции и Порядка №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Антимонопольному органу следует учитывать, что ч. 5 ст.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 первоначальном ходатайстве.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 </w:t>
      </w:r>
    </w:p>
    <w:p w:rsidR="00D52262" w:rsidRPr="00D52262" w:rsidRDefault="00D52262" w:rsidP="00D52262">
      <w:pPr>
        <w:spacing w:after="0" w:line="240" w:lineRule="auto"/>
        <w:ind w:firstLine="709"/>
        <w:jc w:val="both"/>
        <w:rPr>
          <w:rFonts w:ascii="Times New Roman" w:eastAsia="Times New Roman" w:hAnsi="Times New Roman" w:cs="Times New Roman"/>
          <w:i/>
          <w:sz w:val="28"/>
          <w:szCs w:val="28"/>
          <w:lang w:eastAsia="ru-RU"/>
        </w:rPr>
      </w:pPr>
      <w:r w:rsidRPr="00D52262">
        <w:rPr>
          <w:rFonts w:ascii="Times New Roman" w:eastAsia="Calibri" w:hAnsi="Times New Roman" w:cs="Times New Roman"/>
          <w:sz w:val="28"/>
          <w:szCs w:val="28"/>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 со стороны хозяйствующего субъекта, подавшего ходатайство.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должен быть уведомлен о выполнении предупреждения в течение трех дней со дня окончания срока, установленного 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(части 6 и 7 статьи 39¹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Закон о защите конкуренции не предусматривает обязанности хозяйствующего субъекта представлять доказательства выполнения 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 в случае наличия сомнений в выполнении предупреждения может запросить у хозяйствующего субъекта такие доказательства или иные дополнительные доказательства.</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Антимонопольный орган при выдаче предупреждения обязан обеспечить его направление тому хозяйствующему субъекту, которому оно адресовано. В 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Неполучение хозяйствующим субъектом предупреждения по не 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необходимо учитывать положения пункта 3 статьи 54 ГК РФ,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Интернет-сервиса ФГУП «Почта России»), а также неисполнения хозяйствующим субъектом такого предупреждения в установленный им срок, у антимонопольного органа существуют основания для возбуждения в отношении этого хозяйствующего субъекта дела о нарушении антимонопольного законодательства на основании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8 статьи 39¹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 xml:space="preserve">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рассмотрении такого дела установлены признаки нарушения пунктов и (или) статей, указанных в статье 39¹ Закона о защите конкуренции, которые не были известны на момент возбуждения такого дела (часть 3 статьи 39¹ Закона о защите конкуренции).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таком случае, возбужденное дело о нарушении антимонопольного законодательства подлежит отложению в соответствии с пунктом 1 части 1.1 статьи 47 Закона о защите конкуренции.</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Кроме того, в случае выявления</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 xml:space="preserve">признаков нарушения пунктов и (или) статей, указанных в статье 39¹ Закона о защите конкуренции, которые не были известны на момент возбуждения такого дела, </w:t>
      </w:r>
      <w:r w:rsidRPr="00D52262">
        <w:rPr>
          <w:rFonts w:ascii="Times New Roman" w:eastAsia="Calibri" w:hAnsi="Times New Roman" w:cs="Times New Roman"/>
          <w:b/>
          <w:sz w:val="28"/>
          <w:szCs w:val="28"/>
        </w:rPr>
        <w:t>антимонопольный орган вправе выделить дело в отдельное производство.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w:t>
      </w:r>
      <w:r w:rsidRPr="00D52262" w:rsidDel="00C8132A">
        <w:rPr>
          <w:rFonts w:ascii="Times New Roman" w:eastAsia="Calibri" w:hAnsi="Times New Roman" w:cs="Times New Roman"/>
          <w:sz w:val="28"/>
          <w:szCs w:val="28"/>
        </w:rPr>
        <w:t xml:space="preserve"> </w:t>
      </w:r>
      <w:r w:rsidRPr="00D52262">
        <w:rPr>
          <w:rFonts w:ascii="Times New Roman" w:eastAsia="Calibri" w:hAnsi="Times New Roman" w:cs="Times New Roman"/>
          <w:sz w:val="28"/>
          <w:szCs w:val="28"/>
        </w:rPr>
        <w:t xml:space="preserve">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то же время, если новые сообщения содержат в себе сведения об иных действиях хозяйствующего субъекта, содержащих в себе признаки нарушений антимонопольного законодательства, предусмотренных пунктами 3, 5, 6, 8 части 1 статьи 10 Закона о защите конкуренции, это может служить основанием для выдачи нового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части 7 статьи 39</w:t>
      </w:r>
      <w:r w:rsidRPr="00D52262">
        <w:rPr>
          <w:rFonts w:ascii="Times New Roman" w:eastAsia="Calibri" w:hAnsi="Times New Roman" w:cs="Times New Roman"/>
          <w:sz w:val="28"/>
          <w:szCs w:val="28"/>
          <w:vertAlign w:val="superscript"/>
        </w:rPr>
        <w:t xml:space="preserve">1 </w:t>
      </w:r>
      <w:r w:rsidRPr="00D52262">
        <w:rPr>
          <w:rFonts w:ascii="Times New Roman" w:eastAsia="Calibri" w:hAnsi="Times New Roman" w:cs="Times New Roman"/>
          <w:sz w:val="28"/>
          <w:szCs w:val="28"/>
        </w:rPr>
        <w:t>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Необходимо отметить, что законодательством установлен ряд </w:t>
      </w:r>
      <w:r w:rsidRPr="00D52262">
        <w:rPr>
          <w:rFonts w:ascii="Times New Roman" w:eastAsia="Calibri" w:hAnsi="Times New Roman" w:cs="Times New Roman"/>
          <w:b/>
          <w:sz w:val="28"/>
          <w:szCs w:val="28"/>
        </w:rPr>
        <w:t>требований к предупреждению.</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законодательства и не допускать случаи выдачи предупреждений в отсутствие достаточных оснований полагать, что такие признаки имеются.</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Исполнимость и определенность предупреждения предполагает предъявление хозяйствующему субъекту требований о совершении </w:t>
      </w:r>
      <w:r w:rsidRPr="00D52262">
        <w:rPr>
          <w:rFonts w:ascii="Times New Roman" w:eastAsia="Calibri" w:hAnsi="Times New Roman" w:cs="Times New Roman"/>
          <w:sz w:val="28"/>
          <w:szCs w:val="28"/>
        </w:rPr>
        <w:lastRenderedPageBreak/>
        <w:t>конкретных, то есть ясно сформулированных, недвусмысленных, и заведомо исполнимых требований.</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 в силу пункта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 является самостоятельным основанием для признания предупреждения незаконным.</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Разумность срока выполнения предупреждения предполагает предоставление хозяйствующему субъекту времени для исполнения предупреждения,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w:t>
      </w:r>
      <w:r w:rsidRPr="00D52262">
        <w:rPr>
          <w:rFonts w:ascii="Times New Roman" w:eastAsia="Calibri" w:hAnsi="Times New Roman" w:cs="Times New Roman"/>
          <w:bCs/>
          <w:sz w:val="28"/>
          <w:szCs w:val="28"/>
        </w:rPr>
        <w:t>недопустимость</w:t>
      </w:r>
      <w:r w:rsidRPr="00D52262">
        <w:rPr>
          <w:rFonts w:ascii="Times New Roman" w:eastAsia="Calibri" w:hAnsi="Times New Roman" w:cs="Times New Roman"/>
          <w:sz w:val="28"/>
          <w:szCs w:val="28"/>
        </w:rPr>
        <w:t xml:space="preserve"> как неоправданного сокращения срока для выполнения таких действий, так и </w:t>
      </w:r>
      <w:r w:rsidRPr="00D52262">
        <w:rPr>
          <w:rFonts w:ascii="Times New Roman" w:eastAsia="Calibri" w:hAnsi="Times New Roman" w:cs="Times New Roman"/>
          <w:bCs/>
          <w:sz w:val="28"/>
          <w:szCs w:val="28"/>
        </w:rPr>
        <w:t>неоправданного увеличения этих сроков.</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ряд важных факторов, касающихся предупреждений в целом.</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w:t>
      </w:r>
      <w:r w:rsidRPr="00D52262">
        <w:rPr>
          <w:rFonts w:ascii="Times New Roman" w:eastAsia="Times New Roman" w:hAnsi="Times New Roman" w:cs="Times New Roman"/>
          <w:sz w:val="28"/>
          <w:szCs w:val="28"/>
          <w:lang w:eastAsia="ru-RU"/>
        </w:rPr>
        <w:t>. Важность соблюдения формальных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форма предупреждений обязательно должна соответствовать форме, утвержденной Порядком № 57/16;</w:t>
      </w:r>
      <w:r w:rsidRPr="00D52262">
        <w:rPr>
          <w:rFonts w:ascii="Times New Roman" w:eastAsia="Times New Roman" w:hAnsi="Times New Roman" w:cs="Times New Roman"/>
          <w:sz w:val="28"/>
          <w:szCs w:val="28"/>
          <w:lang w:eastAsia="ru-RU"/>
        </w:rPr>
        <w:tab/>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необходимо четко раскрывать в тексте предупреждения суть нарушения, не ограничиваться поверхностными формулировками;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содержать квалификацию в соответствии с Законом о защите конкуренции, следует не допускать замены одного пункта другим (нарушение выражается в установлении разных цен на оказываемые услуги, а предупреждение вынесено по пункту 8 части 1 статьи 10 Закона о защите конкуренции);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подлежат направлению в адрес лиц, совершивших то или иное нарушение антимонопольного законодательства, Законом о защите конкуренции не предусмотрено, что предупреждение необходимо направлять в адрес других лиц (например, для сведения);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 лицам, заявления которых послужили основанием для направления хозяйствующему субъекту предупреждения, данное предупреждение не направляется, вместе с тем таким лицам направляется информация о том, что </w:t>
      </w:r>
      <w:r w:rsidRPr="00D52262">
        <w:rPr>
          <w:rFonts w:ascii="Times New Roman" w:eastAsia="Times New Roman" w:hAnsi="Times New Roman" w:cs="Times New Roman"/>
          <w:sz w:val="28"/>
          <w:szCs w:val="28"/>
          <w:lang w:eastAsia="ru-RU"/>
        </w:rPr>
        <w:lastRenderedPageBreak/>
        <w:t>указанному хозяйствующему субъекту антимонопольным органом выдано предупреждение;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в предупреждениях обязательно должен быть указан срок их исполнения;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размещаются в едином разделе ненормативных правовых актов ФАС России (на сайте ФАС России в сети «Интернет») в соответствии с Положением об информационной политике Федеральной антимонопольной службы и ее территориальных органов, утвержденным приказом ФАС России от 10.11.2015 № 1069/15.</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II</w:t>
      </w:r>
      <w:r w:rsidRPr="00D52262">
        <w:rPr>
          <w:rFonts w:ascii="Times New Roman" w:eastAsia="Times New Roman" w:hAnsi="Times New Roman" w:cs="Times New Roman"/>
          <w:sz w:val="28"/>
          <w:szCs w:val="28"/>
          <w:lang w:eastAsia="ru-RU"/>
        </w:rPr>
        <w:t>. Важность соблюдения содержательных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предупреждение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допускается неопределенность формулировок без указания конкретных действий, которые необходимо совершить или прекратить в определенный срок, в том числе такие формулировки, как: «путем совершения иных действий», «и др.», «впредь не допускать нарушение антимонопольного законодательства»; также не допустимо указывать на принятие мер организационного характера: «ознакомить сотрудников», «провести разъяснительные работы»);</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исполнимыми.</w:t>
      </w:r>
    </w:p>
    <w:p w:rsidR="00D52262" w:rsidRPr="00D52262" w:rsidRDefault="00D52262" w:rsidP="00D52262">
      <w:pPr>
        <w:spacing w:after="0" w:line="240" w:lineRule="auto"/>
        <w:ind w:firstLine="708"/>
        <w:jc w:val="both"/>
        <w:rPr>
          <w:rFonts w:ascii="Times New Roman" w:eastAsia="Times New Roman" w:hAnsi="Times New Roman" w:cs="Times New Roman"/>
          <w:b/>
          <w:sz w:val="28"/>
          <w:szCs w:val="28"/>
          <w:lang w:eastAsia="ru-RU"/>
        </w:rPr>
      </w:pPr>
      <w:r w:rsidRPr="00D52262">
        <w:rPr>
          <w:rFonts w:ascii="Times New Roman" w:eastAsia="Times New Roman" w:hAnsi="Times New Roman" w:cs="Times New Roman"/>
          <w:sz w:val="28"/>
          <w:szCs w:val="28"/>
          <w:lang w:eastAsia="ru-RU"/>
        </w:rPr>
        <w:t xml:space="preserve">Необходимо отметить ряд особенностей, связанных </w:t>
      </w:r>
      <w:r w:rsidRPr="00D52262">
        <w:rPr>
          <w:rFonts w:ascii="Times New Roman" w:eastAsia="Times New Roman" w:hAnsi="Times New Roman" w:cs="Times New Roman"/>
          <w:b/>
          <w:sz w:val="28"/>
          <w:szCs w:val="28"/>
          <w:lang w:eastAsia="ru-RU"/>
        </w:rPr>
        <w:t>с обжалованием предупреждения в судебном порядке.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Хозяйствующий субъект вправе обжаловать предупреждение в арбитражный суд. Предупреждение отвечает признакам ненормативного правового акта, установленным в </w:t>
      </w:r>
      <w:hyperlink r:id="rId33" w:history="1">
        <w:r w:rsidRPr="00D52262">
          <w:rPr>
            <w:rFonts w:ascii="Times New Roman" w:eastAsia="Times New Roman" w:hAnsi="Times New Roman" w:cs="Times New Roman"/>
            <w:sz w:val="28"/>
            <w:szCs w:val="28"/>
            <w:lang w:eastAsia="ru-RU"/>
          </w:rPr>
          <w:t>части 1 статьи 198</w:t>
        </w:r>
      </w:hyperlink>
      <w:r w:rsidRPr="00D52262">
        <w:rPr>
          <w:rFonts w:ascii="Times New Roman" w:eastAsia="Times New Roman" w:hAnsi="Times New Roman" w:cs="Times New Roman"/>
          <w:sz w:val="28"/>
          <w:szCs w:val="28"/>
          <w:lang w:eastAsia="ru-RU"/>
        </w:rPr>
        <w:t xml:space="preserve"> Арбитражного процессуального кодекса Российской Федерации (далее – АПК РФ) и его оспаривание допускается в порядке </w:t>
      </w:r>
      <w:hyperlink r:id="rId34" w:history="1">
        <w:r w:rsidRPr="00D52262">
          <w:rPr>
            <w:rFonts w:ascii="Times New Roman" w:eastAsia="Times New Roman" w:hAnsi="Times New Roman" w:cs="Times New Roman"/>
            <w:sz w:val="28"/>
            <w:szCs w:val="28"/>
            <w:lang w:eastAsia="ru-RU"/>
          </w:rPr>
          <w:t>главы 24</w:t>
        </w:r>
      </w:hyperlink>
      <w:r w:rsidRPr="00D52262">
        <w:rPr>
          <w:rFonts w:ascii="Times New Roman" w:eastAsia="Times New Roman" w:hAnsi="Times New Roman" w:cs="Times New Roman"/>
          <w:sz w:val="28"/>
          <w:szCs w:val="28"/>
          <w:lang w:eastAsia="ru-RU"/>
        </w:rPr>
        <w:t xml:space="preserve"> АПК РФ, поскольку принято уполномоченным государственным органом на основании </w:t>
      </w:r>
      <w:hyperlink r:id="rId35" w:history="1">
        <w:r w:rsidRPr="00D52262">
          <w:rPr>
            <w:rFonts w:ascii="Times New Roman" w:eastAsia="Times New Roman" w:hAnsi="Times New Roman" w:cs="Times New Roman"/>
            <w:sz w:val="28"/>
            <w:szCs w:val="28"/>
            <w:lang w:eastAsia="ru-RU"/>
          </w:rPr>
          <w:t>статей 22</w:t>
        </w:r>
      </w:hyperlink>
      <w:r w:rsidRPr="00D52262">
        <w:rPr>
          <w:rFonts w:ascii="Times New Roman" w:eastAsia="Times New Roman" w:hAnsi="Times New Roman" w:cs="Times New Roman"/>
          <w:sz w:val="28"/>
          <w:szCs w:val="28"/>
          <w:lang w:eastAsia="ru-RU"/>
        </w:rPr>
        <w:t xml:space="preserve"> и 39</w:t>
      </w:r>
      <w:r w:rsidRPr="00D52262">
        <w:rPr>
          <w:rFonts w:ascii="Times New Roman" w:eastAsia="Times New Roman" w:hAnsi="Times New Roman" w:cs="Times New Roman"/>
          <w:sz w:val="28"/>
          <w:szCs w:val="28"/>
          <w:vertAlign w:val="superscript"/>
          <w:lang w:eastAsia="ru-RU"/>
        </w:rPr>
        <w:t>1</w:t>
      </w:r>
      <w:r w:rsidRPr="00D52262">
        <w:rPr>
          <w:rFonts w:ascii="Times New Roman" w:eastAsia="Times New Roman" w:hAnsi="Times New Roman" w:cs="Times New Roman"/>
          <w:sz w:val="28"/>
          <w:szCs w:val="28"/>
          <w:lang w:eastAsia="ru-RU"/>
        </w:rPr>
        <w:t xml:space="preserve"> Закона о защите конкуренции в отношении конкретного хозяйствующего субъекта и содержит властное предписание, возлагающее на общество обязанность, и влияющее тем самым на права хозяйствующего субъекта в сфере предпринимательской деятельности</w:t>
      </w:r>
      <w:r w:rsidRPr="00D52262">
        <w:rPr>
          <w:rFonts w:ascii="Times New Roman" w:eastAsia="Times New Roman" w:hAnsi="Times New Roman" w:cs="Times New Roman"/>
          <w:sz w:val="28"/>
          <w:szCs w:val="28"/>
          <w:vertAlign w:val="superscript"/>
          <w:lang w:eastAsia="ru-RU"/>
        </w:rPr>
        <w:footnoteReference w:id="16"/>
      </w:r>
      <w:r w:rsidRPr="00D52262">
        <w:rPr>
          <w:rFonts w:ascii="Times New Roman" w:eastAsia="Times New Roman" w:hAnsi="Times New Roman" w:cs="Times New Roman"/>
          <w:sz w:val="28"/>
          <w:szCs w:val="28"/>
          <w:lang w:eastAsia="ru-RU"/>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При этом, поскольку предупреждение выносится при обнаружении лишь признаков правонарушения, а не его факта (</w:t>
      </w:r>
      <w:hyperlink r:id="rId36" w:history="1">
        <w:r w:rsidRPr="00D52262">
          <w:rPr>
            <w:rFonts w:ascii="Times New Roman" w:eastAsia="Calibri" w:hAnsi="Times New Roman" w:cs="Times New Roman"/>
            <w:sz w:val="28"/>
            <w:szCs w:val="28"/>
          </w:rPr>
          <w:t>часть 2 статьи 39</w:t>
        </w:r>
        <w:r w:rsidRPr="00D52262">
          <w:rPr>
            <w:rFonts w:ascii="Times New Roman" w:eastAsia="Calibri" w:hAnsi="Times New Roman" w:cs="Times New Roman"/>
            <w:sz w:val="28"/>
            <w:szCs w:val="28"/>
            <w:vertAlign w:val="superscript"/>
          </w:rPr>
          <w:t>1</w:t>
        </w:r>
      </w:hyperlink>
      <w:r w:rsidRPr="00D52262">
        <w:rPr>
          <w:rFonts w:ascii="Times New Roman" w:eastAsia="Calibri" w:hAnsi="Times New Roman" w:cs="Times New Roman"/>
          <w:sz w:val="28"/>
          <w:szCs w:val="28"/>
        </w:rPr>
        <w:t xml:space="preserve">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w:t>
      </w:r>
      <w:r w:rsidRPr="00D52262">
        <w:rPr>
          <w:rFonts w:ascii="Times New Roman" w:eastAsia="Calibri" w:hAnsi="Times New Roman" w:cs="Times New Roman"/>
          <w:sz w:val="28"/>
          <w:szCs w:val="28"/>
          <w:vertAlign w:val="superscript"/>
        </w:rPr>
        <w:footnoteReference w:id="17"/>
      </w:r>
      <w:r w:rsidRPr="00D52262">
        <w:rPr>
          <w:rFonts w:ascii="Times New Roman" w:eastAsia="Calibri" w:hAnsi="Times New Roman" w:cs="Times New Roman"/>
          <w:sz w:val="28"/>
          <w:szCs w:val="28"/>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иметь в 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 указанных в предупреждении.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rsid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антимонопольного законодательства в силу норм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В то же время антимонопольный орган на основании части 3 статьи 47 Закона о защите конкуренции вправе приостановить рассмотрение возбужденного дела о нарушении антимонопольного 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rsidR="0057567A" w:rsidRPr="00D52262" w:rsidRDefault="0057567A" w:rsidP="00D52262">
      <w:pPr>
        <w:spacing w:after="0" w:line="240" w:lineRule="auto"/>
        <w:ind w:firstLine="708"/>
        <w:jc w:val="both"/>
        <w:rPr>
          <w:rFonts w:ascii="Times New Roman" w:eastAsia="Calibri" w:hAnsi="Times New Roman" w:cs="Times New Roman"/>
          <w:sz w:val="28"/>
          <w:szCs w:val="28"/>
        </w:rPr>
      </w:pPr>
    </w:p>
    <w:p w:rsidR="0057567A" w:rsidRPr="00280695" w:rsidRDefault="0057567A" w:rsidP="0057567A">
      <w:pPr>
        <w:spacing w:after="0" w:line="360" w:lineRule="auto"/>
        <w:jc w:val="center"/>
        <w:rPr>
          <w:rFonts w:ascii="Times New Roman" w:hAnsi="Times New Roman" w:cs="Times New Roman"/>
          <w:b/>
          <w:sz w:val="28"/>
          <w:szCs w:val="28"/>
        </w:rPr>
      </w:pPr>
      <w:r w:rsidRPr="00280695">
        <w:rPr>
          <w:rFonts w:ascii="Times New Roman" w:hAnsi="Times New Roman" w:cs="Times New Roman"/>
          <w:b/>
          <w:sz w:val="28"/>
          <w:szCs w:val="28"/>
        </w:rPr>
        <w:t>Р</w:t>
      </w:r>
      <w:r>
        <w:rPr>
          <w:rFonts w:ascii="Times New Roman" w:hAnsi="Times New Roman" w:cs="Times New Roman"/>
          <w:b/>
          <w:sz w:val="28"/>
          <w:szCs w:val="28"/>
        </w:rPr>
        <w:t>АЗЪЯСНЕНИЯ</w:t>
      </w:r>
      <w:r w:rsidRPr="00280695">
        <w:rPr>
          <w:rFonts w:ascii="Times New Roman" w:hAnsi="Times New Roman" w:cs="Times New Roman"/>
          <w:b/>
          <w:sz w:val="28"/>
          <w:szCs w:val="28"/>
        </w:rPr>
        <w:t xml:space="preserve"> </w:t>
      </w:r>
      <w:r>
        <w:rPr>
          <w:rFonts w:ascii="Times New Roman" w:hAnsi="Times New Roman" w:cs="Times New Roman"/>
          <w:b/>
          <w:sz w:val="28"/>
          <w:szCs w:val="28"/>
        </w:rPr>
        <w:t>№ 9</w:t>
      </w:r>
    </w:p>
    <w:p w:rsidR="0057567A" w:rsidRDefault="0057567A" w:rsidP="0057567A">
      <w:pPr>
        <w:spacing w:after="0" w:line="360" w:lineRule="auto"/>
        <w:jc w:val="center"/>
        <w:rPr>
          <w:rFonts w:ascii="Times New Roman" w:hAnsi="Times New Roman" w:cs="Times New Roman"/>
          <w:b/>
          <w:sz w:val="28"/>
          <w:szCs w:val="28"/>
        </w:rPr>
      </w:pPr>
    </w:p>
    <w:p w:rsidR="0057567A" w:rsidRDefault="0057567A" w:rsidP="005756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w:t>
      </w:r>
      <w:r w:rsidRPr="00280695">
        <w:rPr>
          <w:rFonts w:ascii="Times New Roman" w:hAnsi="Times New Roman" w:cs="Times New Roman"/>
          <w:b/>
          <w:sz w:val="28"/>
          <w:szCs w:val="28"/>
        </w:rPr>
        <w:t xml:space="preserve"> </w:t>
      </w:r>
      <w:r>
        <w:rPr>
          <w:rFonts w:ascii="Times New Roman" w:hAnsi="Times New Roman" w:cs="Times New Roman"/>
          <w:b/>
          <w:sz w:val="28"/>
          <w:szCs w:val="28"/>
        </w:rPr>
        <w:t>ПОРЯДКЕ</w:t>
      </w:r>
      <w:r w:rsidRPr="00280695">
        <w:rPr>
          <w:rFonts w:ascii="Times New Roman" w:hAnsi="Times New Roman" w:cs="Times New Roman"/>
          <w:b/>
          <w:sz w:val="28"/>
          <w:szCs w:val="28"/>
        </w:rPr>
        <w:t xml:space="preserve"> П</w:t>
      </w:r>
      <w:r>
        <w:rPr>
          <w:rFonts w:ascii="Times New Roman" w:hAnsi="Times New Roman" w:cs="Times New Roman"/>
          <w:b/>
          <w:sz w:val="28"/>
          <w:szCs w:val="28"/>
        </w:rPr>
        <w:t>УБЛИКАЦИИ</w:t>
      </w:r>
      <w:r w:rsidRPr="00280695">
        <w:rPr>
          <w:rFonts w:ascii="Times New Roman" w:hAnsi="Times New Roman" w:cs="Times New Roman"/>
          <w:b/>
          <w:sz w:val="28"/>
          <w:szCs w:val="28"/>
        </w:rPr>
        <w:t xml:space="preserve"> </w:t>
      </w:r>
      <w:r>
        <w:rPr>
          <w:rFonts w:ascii="Times New Roman" w:hAnsi="Times New Roman" w:cs="Times New Roman"/>
          <w:b/>
          <w:sz w:val="28"/>
          <w:szCs w:val="28"/>
        </w:rPr>
        <w:t>МЕЖДУНАРОДНЫМИ</w:t>
      </w:r>
      <w:r w:rsidRPr="00280695">
        <w:rPr>
          <w:rFonts w:ascii="Times New Roman" w:hAnsi="Times New Roman" w:cs="Times New Roman"/>
          <w:b/>
          <w:sz w:val="28"/>
          <w:szCs w:val="28"/>
        </w:rPr>
        <w:t xml:space="preserve"> </w:t>
      </w:r>
      <w:r>
        <w:rPr>
          <w:rFonts w:ascii="Times New Roman" w:hAnsi="Times New Roman" w:cs="Times New Roman"/>
          <w:b/>
          <w:sz w:val="28"/>
          <w:szCs w:val="28"/>
        </w:rPr>
        <w:t>МОРСКИМИ КОНТЕЙНЕРНЫМИ ПЕРЕВОЗЧИКАМИ СТОИМОСТИ</w:t>
      </w:r>
      <w:r w:rsidRPr="00280695">
        <w:rPr>
          <w:rFonts w:ascii="Times New Roman" w:hAnsi="Times New Roman" w:cs="Times New Roman"/>
          <w:b/>
          <w:sz w:val="28"/>
          <w:szCs w:val="28"/>
        </w:rPr>
        <w:t xml:space="preserve"> </w:t>
      </w:r>
      <w:r>
        <w:rPr>
          <w:rFonts w:ascii="Times New Roman" w:hAnsi="Times New Roman" w:cs="Times New Roman"/>
          <w:b/>
          <w:sz w:val="28"/>
          <w:szCs w:val="28"/>
        </w:rPr>
        <w:t>ПЕРЕВОЗКИ»</w:t>
      </w:r>
    </w:p>
    <w:p w:rsidR="0057567A" w:rsidRPr="00280695" w:rsidRDefault="0057567A" w:rsidP="0057567A">
      <w:pPr>
        <w:spacing w:after="0" w:line="240" w:lineRule="auto"/>
        <w:ind w:firstLine="709"/>
        <w:rPr>
          <w:rFonts w:ascii="Times New Roman" w:hAnsi="Times New Roman" w:cs="Times New Roman"/>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sidRPr="00280695">
        <w:rPr>
          <w:rFonts w:ascii="Times New Roman" w:hAnsi="Times New Roman" w:cs="Times New Roman"/>
          <w:b/>
          <w:sz w:val="28"/>
          <w:szCs w:val="28"/>
        </w:rPr>
        <w:t>Преамбула и Цели разъяснения</w:t>
      </w:r>
    </w:p>
    <w:p w:rsidR="0057567A" w:rsidRPr="00280695" w:rsidRDefault="0057567A" w:rsidP="0057567A">
      <w:pPr>
        <w:spacing w:after="0" w:line="240" w:lineRule="auto"/>
        <w:ind w:firstLine="709"/>
        <w:jc w:val="both"/>
        <w:rPr>
          <w:rFonts w:ascii="Times New Roman" w:hAnsi="Times New Roman" w:cs="Times New Roman"/>
          <w:sz w:val="28"/>
          <w:szCs w:val="28"/>
        </w:rPr>
      </w:pPr>
      <w:r w:rsidRPr="00715217">
        <w:rPr>
          <w:rFonts w:ascii="Times New Roman" w:hAnsi="Times New Roman" w:cs="Times New Roman"/>
          <w:sz w:val="28"/>
          <w:szCs w:val="28"/>
        </w:rPr>
        <w:lastRenderedPageBreak/>
        <w:t xml:space="preserve">Учитывая положения </w:t>
      </w:r>
      <w:r>
        <w:rPr>
          <w:rFonts w:ascii="Times New Roman" w:hAnsi="Times New Roman" w:cs="Times New Roman"/>
          <w:sz w:val="28"/>
          <w:szCs w:val="28"/>
        </w:rPr>
        <w:t xml:space="preserve">антимонопольного </w:t>
      </w:r>
      <w:r w:rsidRPr="00715217">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Российской Федерации </w:t>
      </w:r>
      <w:r w:rsidRPr="00715217">
        <w:rPr>
          <w:rFonts w:ascii="Times New Roman" w:hAnsi="Times New Roman" w:cs="Times New Roman"/>
          <w:sz w:val="28"/>
          <w:szCs w:val="28"/>
        </w:rPr>
        <w:t>и в целях снижения рисков</w:t>
      </w:r>
      <w:r>
        <w:rPr>
          <w:rFonts w:ascii="Times New Roman" w:hAnsi="Times New Roman" w:cs="Times New Roman"/>
          <w:sz w:val="28"/>
          <w:szCs w:val="28"/>
        </w:rPr>
        <w:t xml:space="preserve"> его </w:t>
      </w:r>
      <w:r w:rsidRPr="00715217">
        <w:rPr>
          <w:rFonts w:ascii="Times New Roman" w:hAnsi="Times New Roman" w:cs="Times New Roman"/>
          <w:sz w:val="28"/>
          <w:szCs w:val="28"/>
        </w:rPr>
        <w:t xml:space="preserve">нарушения </w:t>
      </w:r>
      <w:r>
        <w:rPr>
          <w:rFonts w:ascii="Times New Roman" w:hAnsi="Times New Roman" w:cs="Times New Roman"/>
          <w:sz w:val="28"/>
          <w:szCs w:val="28"/>
        </w:rPr>
        <w:t>путем</w:t>
      </w:r>
      <w:r w:rsidRPr="00715217">
        <w:rPr>
          <w:rFonts w:ascii="Times New Roman" w:hAnsi="Times New Roman" w:cs="Times New Roman"/>
          <w:sz w:val="28"/>
          <w:szCs w:val="28"/>
        </w:rPr>
        <w:t xml:space="preserve"> совершения согласованных действий представляется целесообразным дать разъяснения участникам отношений по морской </w:t>
      </w:r>
      <w:r>
        <w:rPr>
          <w:rFonts w:ascii="Times New Roman" w:hAnsi="Times New Roman" w:cs="Times New Roman"/>
          <w:sz w:val="28"/>
          <w:szCs w:val="28"/>
        </w:rPr>
        <w:t xml:space="preserve">контейнерной </w:t>
      </w:r>
      <w:r w:rsidRPr="00715217">
        <w:rPr>
          <w:rFonts w:ascii="Times New Roman" w:hAnsi="Times New Roman" w:cs="Times New Roman"/>
          <w:sz w:val="28"/>
          <w:szCs w:val="28"/>
        </w:rPr>
        <w:t xml:space="preserve">перевозке грузов о соблюдении минимальных требований к поведению </w:t>
      </w:r>
      <w:r>
        <w:rPr>
          <w:rFonts w:ascii="Times New Roman" w:hAnsi="Times New Roman" w:cs="Times New Roman"/>
          <w:sz w:val="28"/>
          <w:szCs w:val="28"/>
        </w:rPr>
        <w:t xml:space="preserve">морских контейнерных </w:t>
      </w:r>
      <w:r w:rsidRPr="00715217">
        <w:rPr>
          <w:rFonts w:ascii="Times New Roman" w:hAnsi="Times New Roman" w:cs="Times New Roman"/>
          <w:sz w:val="28"/>
          <w:szCs w:val="28"/>
        </w:rPr>
        <w:t>перевозчиков на рынке морско</w:t>
      </w:r>
      <w:r>
        <w:rPr>
          <w:rFonts w:ascii="Times New Roman" w:hAnsi="Times New Roman" w:cs="Times New Roman"/>
          <w:sz w:val="28"/>
          <w:szCs w:val="28"/>
        </w:rPr>
        <w:t>й контейнерной перевозки грузов, если портом погрузки и (или) портом выгрузки грузов являются порты Российской Федерации.</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eastAsia="SimSun" w:hAnsi="Times New Roman" w:cs="Times New Roman"/>
          <w:b/>
          <w:color w:val="000000"/>
          <w:sz w:val="28"/>
          <w:szCs w:val="28"/>
        </w:rPr>
      </w:pPr>
      <w:r w:rsidRPr="00280695">
        <w:rPr>
          <w:rFonts w:ascii="Times New Roman" w:eastAsia="SimSun" w:hAnsi="Times New Roman" w:cs="Times New Roman"/>
          <w:b/>
          <w:color w:val="000000"/>
          <w:sz w:val="28"/>
          <w:szCs w:val="28"/>
        </w:rPr>
        <w:t>Термины и определения, исполь</w:t>
      </w:r>
      <w:r>
        <w:rPr>
          <w:rFonts w:ascii="Times New Roman" w:eastAsia="SimSun" w:hAnsi="Times New Roman" w:cs="Times New Roman"/>
          <w:b/>
          <w:color w:val="000000"/>
          <w:sz w:val="28"/>
          <w:szCs w:val="28"/>
        </w:rPr>
        <w:t>зуемый в настоящих разъяснениях</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Для целей настоящих Разъяснений приведенные ниже термины имеют следующее значение:</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 xml:space="preserve">«Цена» означает денежную сумму или суммы, </w:t>
      </w:r>
      <w:r>
        <w:rPr>
          <w:rFonts w:ascii="Times New Roman" w:eastAsia="SimSun" w:hAnsi="Times New Roman" w:cs="Times New Roman"/>
          <w:color w:val="000000"/>
          <w:sz w:val="28"/>
          <w:szCs w:val="28"/>
        </w:rPr>
        <w:t>по которым заключаются договоры морскими контейнерными</w:t>
      </w:r>
      <w:r w:rsidRPr="003715A9">
        <w:rPr>
          <w:rFonts w:ascii="Times New Roman" w:eastAsia="SimSun" w:hAnsi="Times New Roman" w:cs="Times New Roman"/>
          <w:color w:val="000000"/>
          <w:sz w:val="28"/>
          <w:szCs w:val="28"/>
        </w:rPr>
        <w:t xml:space="preserve"> </w:t>
      </w:r>
      <w:r>
        <w:rPr>
          <w:rFonts w:ascii="Times New Roman" w:eastAsia="SimSun" w:hAnsi="Times New Roman" w:cs="Times New Roman"/>
          <w:color w:val="000000"/>
          <w:sz w:val="28"/>
          <w:szCs w:val="28"/>
        </w:rPr>
        <w:t>п</w:t>
      </w:r>
      <w:r w:rsidRPr="00280695">
        <w:rPr>
          <w:rFonts w:ascii="Times New Roman" w:eastAsia="SimSun" w:hAnsi="Times New Roman" w:cs="Times New Roman"/>
          <w:color w:val="000000"/>
          <w:sz w:val="28"/>
          <w:szCs w:val="28"/>
        </w:rPr>
        <w:t xml:space="preserve">еревозчиками за оказание услуг морских линейных </w:t>
      </w:r>
      <w:r>
        <w:rPr>
          <w:rFonts w:ascii="Times New Roman" w:eastAsia="SimSun" w:hAnsi="Times New Roman" w:cs="Times New Roman"/>
          <w:color w:val="000000"/>
          <w:sz w:val="28"/>
          <w:szCs w:val="28"/>
        </w:rPr>
        <w:t xml:space="preserve">контейнерных </w:t>
      </w:r>
      <w:r w:rsidRPr="00280695">
        <w:rPr>
          <w:rFonts w:ascii="Times New Roman" w:eastAsia="SimSun" w:hAnsi="Times New Roman" w:cs="Times New Roman"/>
          <w:color w:val="000000"/>
          <w:sz w:val="28"/>
          <w:szCs w:val="28"/>
        </w:rPr>
        <w:t>перевозок</w:t>
      </w:r>
      <w:r>
        <w:rPr>
          <w:rFonts w:ascii="Times New Roman" w:eastAsia="SimSun" w:hAnsi="Times New Roman" w:cs="Times New Roman"/>
          <w:color w:val="000000"/>
          <w:sz w:val="28"/>
          <w:szCs w:val="28"/>
        </w:rPr>
        <w:t xml:space="preserve"> грузов,</w:t>
      </w:r>
      <w:r w:rsidRPr="00280695">
        <w:rPr>
          <w:rFonts w:ascii="Times New Roman" w:eastAsia="SimSun" w:hAnsi="Times New Roman" w:cs="Times New Roman"/>
          <w:color w:val="000000"/>
          <w:sz w:val="28"/>
          <w:szCs w:val="28"/>
        </w:rPr>
        <w:t xml:space="preserve"> </w:t>
      </w:r>
      <w:r>
        <w:rPr>
          <w:rFonts w:ascii="Times New Roman" w:hAnsi="Times New Roman" w:cs="Times New Roman"/>
          <w:sz w:val="28"/>
          <w:szCs w:val="28"/>
        </w:rPr>
        <w:t>если портом погрузки и (или) портом выгрузки грузов являются порты Российской Федерации</w:t>
      </w:r>
      <w:r w:rsidRPr="00280695">
        <w:rPr>
          <w:rFonts w:ascii="Times New Roman" w:eastAsia="SimSun" w:hAnsi="Times New Roman" w:cs="Times New Roman"/>
          <w:color w:val="000000"/>
          <w:sz w:val="28"/>
          <w:szCs w:val="28"/>
        </w:rPr>
        <w:t>.</w:t>
      </w:r>
    </w:p>
    <w:p w:rsidR="0057567A" w:rsidRDefault="0057567A" w:rsidP="0057567A">
      <w:pPr>
        <w:pStyle w:val="a3"/>
        <w:spacing w:before="0" w:beforeAutospacing="0" w:after="0"/>
        <w:ind w:firstLine="709"/>
        <w:jc w:val="both"/>
        <w:rPr>
          <w:color w:val="000000"/>
          <w:sz w:val="28"/>
          <w:szCs w:val="28"/>
        </w:rPr>
      </w:pPr>
      <w:r w:rsidRPr="00A53A7C">
        <w:rPr>
          <w:color w:val="000000"/>
          <w:sz w:val="28"/>
          <w:szCs w:val="28"/>
        </w:rPr>
        <w:t xml:space="preserve">«Публикация» означает распространение </w:t>
      </w:r>
      <w:r>
        <w:rPr>
          <w:color w:val="000000"/>
          <w:sz w:val="28"/>
          <w:szCs w:val="28"/>
        </w:rPr>
        <w:t>морскими контейнерными</w:t>
      </w:r>
      <w:r w:rsidRPr="003715A9">
        <w:rPr>
          <w:color w:val="000000"/>
          <w:sz w:val="28"/>
          <w:szCs w:val="28"/>
        </w:rPr>
        <w:t xml:space="preserve"> </w:t>
      </w:r>
      <w:r w:rsidRPr="00A53A7C">
        <w:rPr>
          <w:color w:val="000000"/>
          <w:sz w:val="28"/>
          <w:szCs w:val="28"/>
        </w:rPr>
        <w:t xml:space="preserve">перевозчиками информации, </w:t>
      </w:r>
      <w:r w:rsidRPr="00A53A7C">
        <w:rPr>
          <w:bCs/>
          <w:color w:val="000000"/>
          <w:sz w:val="28"/>
          <w:szCs w:val="28"/>
        </w:rPr>
        <w:t xml:space="preserve">в том числе размещение информации на своем официальном сайте в </w:t>
      </w:r>
      <w:r w:rsidRPr="00A53A7C">
        <w:rPr>
          <w:bCs/>
          <w:sz w:val="28"/>
          <w:szCs w:val="28"/>
        </w:rPr>
        <w:t xml:space="preserve">информационно-телекоммуникационной сети </w:t>
      </w:r>
      <w:r>
        <w:rPr>
          <w:bCs/>
          <w:sz w:val="28"/>
          <w:szCs w:val="28"/>
        </w:rPr>
        <w:t>«</w:t>
      </w:r>
      <w:r w:rsidRPr="00A53A7C">
        <w:rPr>
          <w:bCs/>
          <w:sz w:val="28"/>
          <w:szCs w:val="28"/>
        </w:rPr>
        <w:t>Интернет</w:t>
      </w:r>
      <w:r>
        <w:rPr>
          <w:bCs/>
          <w:sz w:val="28"/>
          <w:szCs w:val="28"/>
        </w:rPr>
        <w:t>»</w:t>
      </w:r>
      <w:r w:rsidRPr="00A53A7C">
        <w:rPr>
          <w:bCs/>
          <w:sz w:val="28"/>
          <w:szCs w:val="28"/>
        </w:rPr>
        <w:t>,</w:t>
      </w:r>
      <w:r w:rsidRPr="00A53A7C">
        <w:rPr>
          <w:sz w:val="28"/>
          <w:szCs w:val="28"/>
        </w:rPr>
        <w:t xml:space="preserve"> </w:t>
      </w:r>
      <w:r w:rsidRPr="00A53A7C">
        <w:rPr>
          <w:color w:val="000000"/>
          <w:sz w:val="28"/>
          <w:szCs w:val="28"/>
        </w:rPr>
        <w:t xml:space="preserve">в форме новостных рассылок и информационных бюллетеней для клиентов, в средствах массовой информации или другими способами предоставления информации в открытый доступ. </w:t>
      </w:r>
    </w:p>
    <w:p w:rsidR="0057567A" w:rsidRPr="00A53A7C" w:rsidRDefault="0057567A" w:rsidP="0057567A">
      <w:pPr>
        <w:pStyle w:val="a3"/>
        <w:spacing w:before="0" w:beforeAutospacing="0" w:after="0"/>
        <w:ind w:firstLine="709"/>
        <w:jc w:val="both"/>
        <w:rPr>
          <w:sz w:val="28"/>
          <w:szCs w:val="28"/>
        </w:rPr>
      </w:pPr>
      <w:r w:rsidRPr="00167E78">
        <w:rPr>
          <w:sz w:val="28"/>
          <w:szCs w:val="28"/>
        </w:rPr>
        <w:t xml:space="preserve">Не является Публикацией любая непубличная форма сообщения </w:t>
      </w:r>
      <w:r w:rsidRPr="003715A9">
        <w:rPr>
          <w:sz w:val="28"/>
          <w:szCs w:val="28"/>
        </w:rPr>
        <w:t xml:space="preserve">морскими контейнерными </w:t>
      </w:r>
      <w:r w:rsidRPr="00167E78">
        <w:rPr>
          <w:sz w:val="28"/>
          <w:szCs w:val="28"/>
        </w:rPr>
        <w:t>перевозчиками информации о своих Ценах и их возможном изменении, в частности, передача этой информации посредством направления сообщения электронной почты, телефонных переговоров, личных встреч, путем указания этой информации в личном кабинете Приобретателя на сайте перевозчика или иным образом, предполагающим невозможность ознакомления неограниченного круга лиц с содержанием Сообщения.</w:t>
      </w:r>
    </w:p>
    <w:p w:rsidR="0057567A" w:rsidRPr="00A53A7C" w:rsidRDefault="0057567A" w:rsidP="0057567A">
      <w:pPr>
        <w:pStyle w:val="a3"/>
        <w:spacing w:before="0" w:beforeAutospacing="0" w:after="0"/>
        <w:ind w:firstLine="709"/>
        <w:jc w:val="both"/>
        <w:rPr>
          <w:color w:val="000000"/>
          <w:sz w:val="28"/>
          <w:szCs w:val="28"/>
        </w:rPr>
      </w:pPr>
      <w:r w:rsidRPr="00A53A7C" w:rsidDel="00167E78">
        <w:rPr>
          <w:bCs/>
          <w:sz w:val="28"/>
          <w:szCs w:val="28"/>
        </w:rPr>
        <w:t xml:space="preserve"> </w:t>
      </w:r>
      <w:r w:rsidRPr="00A53A7C">
        <w:rPr>
          <w:color w:val="000000"/>
          <w:sz w:val="28"/>
          <w:szCs w:val="28"/>
        </w:rPr>
        <w:t xml:space="preserve">«Приобретатель» означает потребителя услуг морских линейных </w:t>
      </w:r>
      <w:r>
        <w:rPr>
          <w:color w:val="000000"/>
          <w:sz w:val="28"/>
          <w:szCs w:val="28"/>
        </w:rPr>
        <w:t xml:space="preserve">контейнерных </w:t>
      </w:r>
      <w:r w:rsidRPr="00A53A7C">
        <w:rPr>
          <w:color w:val="000000"/>
          <w:sz w:val="28"/>
          <w:szCs w:val="28"/>
        </w:rPr>
        <w:t>перевозок.</w:t>
      </w:r>
    </w:p>
    <w:p w:rsidR="0057567A" w:rsidRDefault="0057567A" w:rsidP="0057567A">
      <w:pPr>
        <w:spacing w:after="0" w:line="240" w:lineRule="auto"/>
        <w:ind w:firstLine="709"/>
        <w:jc w:val="both"/>
        <w:rPr>
          <w:rFonts w:ascii="Times New Roman" w:hAnsi="Times New Roman" w:cs="Times New Roman"/>
          <w:sz w:val="28"/>
          <w:szCs w:val="28"/>
        </w:rPr>
      </w:pPr>
    </w:p>
    <w:p w:rsidR="0057567A" w:rsidRPr="00404E63" w:rsidRDefault="0057567A" w:rsidP="0057567A">
      <w:pPr>
        <w:pStyle w:val="ae"/>
        <w:numPr>
          <w:ilvl w:val="0"/>
          <w:numId w:val="6"/>
        </w:numPr>
        <w:spacing w:after="0" w:line="240" w:lineRule="auto"/>
        <w:ind w:firstLine="709"/>
        <w:jc w:val="both"/>
        <w:rPr>
          <w:rFonts w:ascii="Times New Roman" w:hAnsi="Times New Roman" w:cs="Times New Roman"/>
          <w:b/>
          <w:sz w:val="28"/>
          <w:szCs w:val="28"/>
        </w:rPr>
      </w:pPr>
      <w:r w:rsidRPr="00404E63">
        <w:rPr>
          <w:rFonts w:ascii="Times New Roman" w:hAnsi="Times New Roman" w:cs="Times New Roman"/>
          <w:b/>
          <w:sz w:val="28"/>
          <w:szCs w:val="28"/>
        </w:rPr>
        <w:t>Рассма</w:t>
      </w:r>
      <w:r>
        <w:rPr>
          <w:rFonts w:ascii="Times New Roman" w:hAnsi="Times New Roman" w:cs="Times New Roman"/>
          <w:b/>
          <w:sz w:val="28"/>
          <w:szCs w:val="28"/>
        </w:rPr>
        <w:t>триваемые антимонопольные риски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167E78">
        <w:rPr>
          <w:rFonts w:ascii="Times New Roman" w:hAnsi="Times New Roman" w:cs="Times New Roman"/>
          <w:sz w:val="28"/>
          <w:szCs w:val="28"/>
        </w:rPr>
        <w:t>В соответствии с пунктом 1 части 1 статьи 11</w:t>
      </w:r>
      <w:r w:rsidRPr="00CF5CE5">
        <w:rPr>
          <w:rFonts w:ascii="Times New Roman" w:hAnsi="Times New Roman" w:cs="Times New Roman"/>
          <w:sz w:val="28"/>
          <w:szCs w:val="28"/>
          <w:vertAlign w:val="superscript"/>
        </w:rPr>
        <w:t>1</w:t>
      </w:r>
      <w:r w:rsidRPr="00167E78">
        <w:rPr>
          <w:rFonts w:ascii="Times New Roman" w:hAnsi="Times New Roman" w:cs="Times New Roman"/>
          <w:sz w:val="28"/>
          <w:szCs w:val="28"/>
        </w:rPr>
        <w:t xml:space="preserve"> Федерального закона от 26.07.2006 </w:t>
      </w:r>
      <w:r>
        <w:rPr>
          <w:rFonts w:ascii="Times New Roman" w:hAnsi="Times New Roman" w:cs="Times New Roman"/>
          <w:sz w:val="28"/>
          <w:szCs w:val="28"/>
        </w:rPr>
        <w:t>№</w:t>
      </w:r>
      <w:r w:rsidRPr="00167E78">
        <w:rPr>
          <w:rFonts w:ascii="Times New Roman" w:hAnsi="Times New Roman" w:cs="Times New Roman"/>
          <w:sz w:val="28"/>
          <w:szCs w:val="28"/>
        </w:rPr>
        <w:t xml:space="preserve"> 135-ФЗ «О защите конкуренции» запрещаются согласованные действия хозяйствующих субъектов-конкурентов, если такие согласованные действия приводят, в том числе, к установлению или поддержанию цен (тарифов), скидок, надбавок (доплат) и (или) наценок.</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В соответствии с частью 1 статьи 8 </w:t>
      </w:r>
      <w:r w:rsidRPr="00CF5CE5">
        <w:rPr>
          <w:rFonts w:ascii="Times New Roman" w:hAnsi="Times New Roman" w:cs="Times New Roman"/>
          <w:sz w:val="28"/>
          <w:szCs w:val="28"/>
        </w:rPr>
        <w:t>Федерального закона от 26.07.2006 № 135-ФЗ «О защите конкуренции»</w:t>
      </w:r>
      <w:r>
        <w:rPr>
          <w:rFonts w:ascii="Times New Roman" w:hAnsi="Times New Roman" w:cs="Times New Roman"/>
          <w:sz w:val="28"/>
          <w:szCs w:val="28"/>
        </w:rPr>
        <w:t xml:space="preserve"> </w:t>
      </w:r>
      <w:r w:rsidRPr="00167E78">
        <w:rPr>
          <w:rFonts w:ascii="Times New Roman" w:hAnsi="Times New Roman" w:cs="Times New Roman"/>
          <w:sz w:val="28"/>
          <w:szCs w:val="28"/>
        </w:rPr>
        <w:t xml:space="preserve">согласованными действиями хозяйствующих субъектов являются действия хозяйствующих субъектов на </w:t>
      </w:r>
      <w:r w:rsidRPr="00167E78">
        <w:rPr>
          <w:rFonts w:ascii="Times New Roman" w:hAnsi="Times New Roman" w:cs="Times New Roman"/>
          <w:sz w:val="28"/>
          <w:szCs w:val="28"/>
        </w:rPr>
        <w:lastRenderedPageBreak/>
        <w:t>товарном рынке при отсутствии соглашения, удовлетворяющие совокупности следующих условий: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1) результат таких действий соответствует интересам каждого из указанных хозяйствующих субъектов;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57567A"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167E78">
        <w:rPr>
          <w:rFonts w:ascii="Times New Roman" w:hAnsi="Times New Roman" w:cs="Times New Roman"/>
          <w:sz w:val="28"/>
          <w:szCs w:val="28"/>
        </w:rPr>
        <w:t>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167E78">
        <w:rPr>
          <w:rFonts w:ascii="Times New Roman" w:hAnsi="Times New Roman" w:cs="Times New Roman"/>
          <w:sz w:val="28"/>
          <w:szCs w:val="28"/>
        </w:rPr>
        <w:t xml:space="preserve">На рынке международных </w:t>
      </w:r>
      <w:r w:rsidRPr="00867F32">
        <w:rPr>
          <w:rFonts w:ascii="Times New Roman" w:hAnsi="Times New Roman" w:cs="Times New Roman"/>
          <w:sz w:val="28"/>
          <w:szCs w:val="28"/>
        </w:rPr>
        <w:t>морских линейных контейнерных перевозок грузов</w:t>
      </w:r>
      <w:r w:rsidRPr="00167E78">
        <w:rPr>
          <w:rFonts w:ascii="Times New Roman" w:hAnsi="Times New Roman" w:cs="Times New Roman"/>
          <w:sz w:val="28"/>
          <w:szCs w:val="28"/>
        </w:rPr>
        <w:t xml:space="preserve"> публичным заявлени</w:t>
      </w:r>
      <w:r>
        <w:rPr>
          <w:rFonts w:ascii="Times New Roman" w:hAnsi="Times New Roman" w:cs="Times New Roman"/>
          <w:sz w:val="28"/>
          <w:szCs w:val="28"/>
        </w:rPr>
        <w:t>ем может являться Публикация мо</w:t>
      </w:r>
      <w:r w:rsidRPr="00167E78">
        <w:rPr>
          <w:rFonts w:ascii="Times New Roman" w:hAnsi="Times New Roman" w:cs="Times New Roman"/>
          <w:sz w:val="28"/>
          <w:szCs w:val="28"/>
        </w:rPr>
        <w:t>р</w:t>
      </w:r>
      <w:r>
        <w:rPr>
          <w:rFonts w:ascii="Times New Roman" w:hAnsi="Times New Roman" w:cs="Times New Roman"/>
          <w:sz w:val="28"/>
          <w:szCs w:val="28"/>
        </w:rPr>
        <w:t>с</w:t>
      </w:r>
      <w:r w:rsidRPr="00167E78">
        <w:rPr>
          <w:rFonts w:ascii="Times New Roman" w:hAnsi="Times New Roman" w:cs="Times New Roman"/>
          <w:sz w:val="28"/>
          <w:szCs w:val="28"/>
        </w:rPr>
        <w:t xml:space="preserve">ким </w:t>
      </w:r>
      <w:r>
        <w:rPr>
          <w:rFonts w:ascii="Times New Roman" w:hAnsi="Times New Roman" w:cs="Times New Roman"/>
          <w:sz w:val="28"/>
          <w:szCs w:val="28"/>
        </w:rPr>
        <w:t xml:space="preserve">контейнерным </w:t>
      </w:r>
      <w:r w:rsidRPr="00167E78">
        <w:rPr>
          <w:rFonts w:ascii="Times New Roman" w:hAnsi="Times New Roman" w:cs="Times New Roman"/>
          <w:sz w:val="28"/>
          <w:szCs w:val="28"/>
        </w:rPr>
        <w:t>перевозчик</w:t>
      </w:r>
      <w:r>
        <w:rPr>
          <w:rFonts w:ascii="Times New Roman" w:hAnsi="Times New Roman" w:cs="Times New Roman"/>
          <w:sz w:val="28"/>
          <w:szCs w:val="28"/>
        </w:rPr>
        <w:t>ом</w:t>
      </w:r>
      <w:r w:rsidRPr="00167E78">
        <w:rPr>
          <w:rFonts w:ascii="Times New Roman" w:hAnsi="Times New Roman" w:cs="Times New Roman"/>
          <w:sz w:val="28"/>
          <w:szCs w:val="28"/>
        </w:rPr>
        <w:t xml:space="preserve"> информации о планируемом изменении Цены или ее отдельных элементов посредством размещения соответствующих сведений в информационно-телекоммуникационной сети </w:t>
      </w:r>
      <w:r>
        <w:rPr>
          <w:rFonts w:ascii="Times New Roman" w:hAnsi="Times New Roman" w:cs="Times New Roman"/>
          <w:sz w:val="28"/>
          <w:szCs w:val="28"/>
        </w:rPr>
        <w:t>«</w:t>
      </w:r>
      <w:r w:rsidRPr="00167E78">
        <w:rPr>
          <w:rFonts w:ascii="Times New Roman" w:hAnsi="Times New Roman" w:cs="Times New Roman"/>
          <w:sz w:val="28"/>
          <w:szCs w:val="28"/>
        </w:rPr>
        <w:t>Интернет</w:t>
      </w:r>
      <w:r>
        <w:rPr>
          <w:rFonts w:ascii="Times New Roman" w:hAnsi="Times New Roman" w:cs="Times New Roman"/>
          <w:sz w:val="28"/>
          <w:szCs w:val="28"/>
        </w:rPr>
        <w:t>»,</w:t>
      </w:r>
      <w:r w:rsidRPr="00167E78">
        <w:rPr>
          <w:rFonts w:ascii="Times New Roman" w:hAnsi="Times New Roman" w:cs="Times New Roman"/>
          <w:sz w:val="28"/>
          <w:szCs w:val="28"/>
        </w:rPr>
        <w:t xml:space="preserve"> в форме новостных рассылок и информационных бюллетеней для Потребителей.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Такая форма доведения до потребителей информации о планируемом или возможном изменении Цен обеспечивает осведомленность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о ценовых намерениях друг друга, и, таким образом, создает предпосылки для совершения нарушения антимонопольного законодательства в виде</w:t>
      </w:r>
      <w:r>
        <w:rPr>
          <w:rFonts w:ascii="Times New Roman" w:hAnsi="Times New Roman" w:cs="Times New Roman"/>
          <w:sz w:val="28"/>
          <w:szCs w:val="28"/>
        </w:rPr>
        <w:t xml:space="preserve"> запрещенных</w:t>
      </w:r>
      <w:r w:rsidRPr="00167E78">
        <w:rPr>
          <w:rFonts w:ascii="Times New Roman" w:hAnsi="Times New Roman" w:cs="Times New Roman"/>
          <w:sz w:val="28"/>
          <w:szCs w:val="28"/>
        </w:rPr>
        <w:t xml:space="preserve"> согласованных действий.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Pr="00167E78">
        <w:rPr>
          <w:rFonts w:ascii="Times New Roman" w:hAnsi="Times New Roman" w:cs="Times New Roman"/>
          <w:sz w:val="28"/>
          <w:szCs w:val="28"/>
        </w:rPr>
        <w:t>. Публикаци</w:t>
      </w:r>
      <w:r>
        <w:rPr>
          <w:rFonts w:ascii="Times New Roman" w:hAnsi="Times New Roman" w:cs="Times New Roman"/>
          <w:sz w:val="28"/>
          <w:szCs w:val="28"/>
        </w:rPr>
        <w:t>я</w:t>
      </w:r>
      <w:r w:rsidRPr="00167E78">
        <w:rPr>
          <w:rFonts w:ascii="Times New Roman" w:hAnsi="Times New Roman" w:cs="Times New Roman"/>
          <w:sz w:val="28"/>
          <w:szCs w:val="28"/>
        </w:rPr>
        <w:t xml:space="preserve"> сведений о планируемом или возможном изменении Цен на соответствующем направлении перевозок мо</w:t>
      </w:r>
      <w:r>
        <w:rPr>
          <w:rFonts w:ascii="Times New Roman" w:hAnsi="Times New Roman" w:cs="Times New Roman"/>
          <w:sz w:val="28"/>
          <w:szCs w:val="28"/>
        </w:rPr>
        <w:t>жет</w:t>
      </w:r>
      <w:r w:rsidRPr="00167E78">
        <w:rPr>
          <w:rFonts w:ascii="Times New Roman" w:hAnsi="Times New Roman" w:cs="Times New Roman"/>
          <w:sz w:val="28"/>
          <w:szCs w:val="28"/>
        </w:rPr>
        <w:t xml:space="preserve"> являться элементом запрещенных согласованных действий при наличии совокупности следующих обстоятельств: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Публикация касается ценовой политики в будущий период времени;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после Публикации несколько конкурирующих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 xml:space="preserve">перевозчиков в </w:t>
      </w:r>
      <w:r>
        <w:rPr>
          <w:rFonts w:ascii="Times New Roman" w:hAnsi="Times New Roman" w:cs="Times New Roman"/>
          <w:sz w:val="28"/>
          <w:szCs w:val="28"/>
        </w:rPr>
        <w:t>сопоставимом</w:t>
      </w:r>
      <w:r w:rsidRPr="00167E78">
        <w:rPr>
          <w:rFonts w:ascii="Times New Roman" w:hAnsi="Times New Roman" w:cs="Times New Roman"/>
          <w:sz w:val="28"/>
          <w:szCs w:val="28"/>
        </w:rPr>
        <w:t xml:space="preserve"> размере изменили Цену в одинаковые или близкие даты;</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отсутствуют объективные причины для изменения Цены, в том числе обстоятельства, в равной мере влияющие на всех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на одном и том же направлении перевозок;</w:t>
      </w:r>
    </w:p>
    <w:p w:rsidR="0057567A" w:rsidRPr="00E142A5"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отсутствует надлежащее экономическое обоснование планируемого или возможного изменения Цены либо есть иные признаки того, что ценовые решения морского </w:t>
      </w:r>
      <w:r>
        <w:rPr>
          <w:rFonts w:ascii="Times New Roman" w:hAnsi="Times New Roman" w:cs="Times New Roman"/>
          <w:sz w:val="28"/>
          <w:szCs w:val="28"/>
        </w:rPr>
        <w:t xml:space="preserve">контейнерного </w:t>
      </w:r>
      <w:r w:rsidRPr="00167E78">
        <w:rPr>
          <w:rFonts w:ascii="Times New Roman" w:hAnsi="Times New Roman" w:cs="Times New Roman"/>
          <w:sz w:val="28"/>
          <w:szCs w:val="28"/>
        </w:rPr>
        <w:t>перевозчика(</w:t>
      </w:r>
      <w:proofErr w:type="spellStart"/>
      <w:r w:rsidRPr="00167E78">
        <w:rPr>
          <w:rFonts w:ascii="Times New Roman" w:hAnsi="Times New Roman" w:cs="Times New Roman"/>
          <w:sz w:val="28"/>
          <w:szCs w:val="28"/>
        </w:rPr>
        <w:t>ов</w:t>
      </w:r>
      <w:proofErr w:type="spellEnd"/>
      <w:r w:rsidRPr="00167E78">
        <w:rPr>
          <w:rFonts w:ascii="Times New Roman" w:hAnsi="Times New Roman" w:cs="Times New Roman"/>
          <w:sz w:val="28"/>
          <w:szCs w:val="28"/>
        </w:rPr>
        <w:t xml:space="preserve">) обусловлены действиями </w:t>
      </w:r>
      <w:r w:rsidRPr="00167E78">
        <w:rPr>
          <w:rFonts w:ascii="Times New Roman" w:hAnsi="Times New Roman" w:cs="Times New Roman"/>
          <w:sz w:val="28"/>
          <w:szCs w:val="28"/>
        </w:rPr>
        <w:lastRenderedPageBreak/>
        <w:t>конкурентов</w:t>
      </w:r>
      <w:r>
        <w:rPr>
          <w:rFonts w:ascii="Times New Roman" w:hAnsi="Times New Roman" w:cs="Times New Roman"/>
          <w:sz w:val="28"/>
          <w:szCs w:val="28"/>
        </w:rPr>
        <w:t xml:space="preserve"> и не являются следствием обстоятельств, в равной степени влияющих на всех морских контейнерных перевозчиков</w:t>
      </w:r>
      <w:r w:rsidRPr="00167E78">
        <w:rPr>
          <w:rFonts w:ascii="Times New Roman" w:hAnsi="Times New Roman" w:cs="Times New Roman"/>
          <w:sz w:val="28"/>
          <w:szCs w:val="28"/>
        </w:rPr>
        <w:t>.</w:t>
      </w: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Рекомендуемые правила</w:t>
      </w:r>
    </w:p>
    <w:p w:rsidR="0057567A" w:rsidRPr="00167E78" w:rsidRDefault="0057567A" w:rsidP="0057567A">
      <w:pPr>
        <w:pStyle w:val="a3"/>
        <w:numPr>
          <w:ilvl w:val="1"/>
          <w:numId w:val="6"/>
        </w:numPr>
        <w:spacing w:before="0" w:beforeAutospacing="0" w:after="0"/>
        <w:ind w:left="0" w:firstLine="709"/>
        <w:jc w:val="both"/>
        <w:rPr>
          <w:sz w:val="28"/>
          <w:szCs w:val="28"/>
        </w:rPr>
      </w:pPr>
      <w:r>
        <w:rPr>
          <w:sz w:val="28"/>
          <w:szCs w:val="28"/>
        </w:rPr>
        <w:t xml:space="preserve">     Морским контейнерным перевозчикам</w:t>
      </w:r>
      <w:r w:rsidRPr="00167E78">
        <w:rPr>
          <w:sz w:val="28"/>
          <w:szCs w:val="28"/>
        </w:rPr>
        <w:t xml:space="preserve"> при принятии любых решений в отношении изменения Цены или ее отдельных элементов </w:t>
      </w:r>
      <w:r>
        <w:rPr>
          <w:sz w:val="28"/>
          <w:szCs w:val="28"/>
        </w:rPr>
        <w:t xml:space="preserve">необходимо </w:t>
      </w:r>
      <w:r w:rsidRPr="00167E78">
        <w:rPr>
          <w:sz w:val="28"/>
          <w:szCs w:val="28"/>
        </w:rPr>
        <w:t xml:space="preserve">руководствоваться рыночными факторами, разумной оценкой потенциальной загрузки мощностей судов, величиной необходимых затрат на осуществление перевозок, иными экономическими показателями собственной коммерческой деятельности, а также обстоятельствами, в равной мере влияющими на всех перевозчиков. </w:t>
      </w:r>
    </w:p>
    <w:p w:rsidR="0057567A" w:rsidRDefault="0057567A" w:rsidP="0057567A">
      <w:pPr>
        <w:pStyle w:val="a3"/>
        <w:numPr>
          <w:ilvl w:val="1"/>
          <w:numId w:val="6"/>
        </w:numPr>
        <w:spacing w:before="0" w:beforeAutospacing="0" w:after="0"/>
        <w:ind w:left="0" w:firstLine="709"/>
        <w:jc w:val="both"/>
        <w:rPr>
          <w:sz w:val="28"/>
          <w:szCs w:val="28"/>
        </w:rPr>
      </w:pPr>
      <w:r w:rsidRPr="00167E78">
        <w:rPr>
          <w:sz w:val="28"/>
          <w:szCs w:val="28"/>
        </w:rPr>
        <w:t xml:space="preserve"> </w:t>
      </w:r>
      <w:r>
        <w:rPr>
          <w:sz w:val="28"/>
          <w:szCs w:val="28"/>
        </w:rPr>
        <w:t xml:space="preserve">    </w:t>
      </w:r>
      <w:r w:rsidRPr="00167E78">
        <w:rPr>
          <w:sz w:val="28"/>
          <w:szCs w:val="28"/>
        </w:rPr>
        <w:t xml:space="preserve">При осуществлении Публикаций о планируемом или возможном изменении Цены или элементов Цены (в частности, Публикаций </w:t>
      </w:r>
      <w:proofErr w:type="spellStart"/>
      <w:r w:rsidRPr="00167E78">
        <w:rPr>
          <w:sz w:val="28"/>
          <w:szCs w:val="28"/>
        </w:rPr>
        <w:t>General</w:t>
      </w:r>
      <w:proofErr w:type="spellEnd"/>
      <w:r w:rsidRPr="00167E78">
        <w:rPr>
          <w:sz w:val="28"/>
          <w:szCs w:val="28"/>
        </w:rPr>
        <w:t xml:space="preserve"> </w:t>
      </w:r>
      <w:proofErr w:type="spellStart"/>
      <w:r w:rsidRPr="00167E78">
        <w:rPr>
          <w:sz w:val="28"/>
          <w:szCs w:val="28"/>
        </w:rPr>
        <w:t>Rate</w:t>
      </w:r>
      <w:proofErr w:type="spellEnd"/>
      <w:r w:rsidRPr="00167E78">
        <w:rPr>
          <w:sz w:val="28"/>
          <w:szCs w:val="28"/>
        </w:rPr>
        <w:t xml:space="preserve"> </w:t>
      </w:r>
      <w:proofErr w:type="spellStart"/>
      <w:r w:rsidRPr="00167E78">
        <w:rPr>
          <w:sz w:val="28"/>
          <w:szCs w:val="28"/>
        </w:rPr>
        <w:t>Increase</w:t>
      </w:r>
      <w:proofErr w:type="spellEnd"/>
      <w:r w:rsidRPr="00167E78">
        <w:rPr>
          <w:sz w:val="28"/>
          <w:szCs w:val="28"/>
        </w:rPr>
        <w:t xml:space="preserve">), морским </w:t>
      </w:r>
      <w:r>
        <w:rPr>
          <w:sz w:val="28"/>
          <w:szCs w:val="28"/>
        </w:rPr>
        <w:t xml:space="preserve">контейнерным </w:t>
      </w:r>
      <w:r w:rsidRPr="00167E78">
        <w:rPr>
          <w:sz w:val="28"/>
          <w:szCs w:val="28"/>
        </w:rPr>
        <w:t xml:space="preserve">перевозчикам следует иметь в виду, что такие Публикации могут представлять собой элемент состава запрещенных согласованных действий в том случае, если в результате </w:t>
      </w:r>
      <w:r>
        <w:rPr>
          <w:sz w:val="28"/>
          <w:szCs w:val="28"/>
        </w:rPr>
        <w:t>таких Публикаций</w:t>
      </w:r>
      <w:r w:rsidRPr="00167E78">
        <w:rPr>
          <w:sz w:val="28"/>
          <w:szCs w:val="28"/>
        </w:rPr>
        <w:t xml:space="preserve"> Цены различных перевозчиков на одних и тех же направлениях перевозок или величина их увеличения в </w:t>
      </w:r>
      <w:r>
        <w:rPr>
          <w:sz w:val="28"/>
          <w:szCs w:val="28"/>
        </w:rPr>
        <w:t xml:space="preserve">один и тот же </w:t>
      </w:r>
      <w:r w:rsidRPr="00167E78">
        <w:rPr>
          <w:sz w:val="28"/>
          <w:szCs w:val="28"/>
        </w:rPr>
        <w:t>период времени будут с</w:t>
      </w:r>
      <w:r>
        <w:rPr>
          <w:sz w:val="28"/>
          <w:szCs w:val="28"/>
        </w:rPr>
        <w:t>опоставимы</w:t>
      </w:r>
      <w:r w:rsidRPr="00167E78">
        <w:rPr>
          <w:sz w:val="28"/>
          <w:szCs w:val="28"/>
        </w:rPr>
        <w:t>.</w:t>
      </w:r>
    </w:p>
    <w:p w:rsidR="00B243F6" w:rsidRDefault="0057567A" w:rsidP="00B243F6">
      <w:pPr>
        <w:pStyle w:val="a3"/>
        <w:numPr>
          <w:ilvl w:val="1"/>
          <w:numId w:val="6"/>
        </w:numPr>
        <w:spacing w:before="0" w:beforeAutospacing="0" w:after="0"/>
        <w:ind w:left="0" w:firstLine="709"/>
        <w:jc w:val="both"/>
        <w:rPr>
          <w:sz w:val="28"/>
          <w:szCs w:val="28"/>
        </w:rPr>
      </w:pPr>
      <w:r>
        <w:rPr>
          <w:sz w:val="28"/>
          <w:szCs w:val="28"/>
        </w:rPr>
        <w:t xml:space="preserve">     Н</w:t>
      </w:r>
      <w:r w:rsidRPr="00715217">
        <w:rPr>
          <w:sz w:val="28"/>
          <w:szCs w:val="28"/>
        </w:rPr>
        <w:t>астоящие Разъяснения носят исключительно рекомендательный характер и не препятствуют применению норм соответствующего национального законодательства и/или международных договоров.</w:t>
      </w:r>
    </w:p>
    <w:p w:rsidR="00B243F6" w:rsidRDefault="00B243F6" w:rsidP="00B243F6">
      <w:pPr>
        <w:pStyle w:val="a3"/>
        <w:spacing w:before="0" w:beforeAutospacing="0" w:after="0"/>
        <w:jc w:val="both"/>
        <w:rPr>
          <w:sz w:val="28"/>
          <w:szCs w:val="28"/>
        </w:rPr>
      </w:pPr>
    </w:p>
    <w:p w:rsidR="007721EE" w:rsidRPr="007721EE" w:rsidRDefault="007721EE" w:rsidP="007721EE">
      <w:pPr>
        <w:spacing w:after="0" w:line="240" w:lineRule="auto"/>
        <w:jc w:val="center"/>
        <w:outlineLvl w:val="0"/>
        <w:rPr>
          <w:rFonts w:ascii="Times New Roman" w:eastAsia="Calibri" w:hAnsi="Times New Roman" w:cs="Times New Roman"/>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b/>
          <w:sz w:val="28"/>
          <w:szCs w:val="28"/>
        </w:rPr>
      </w:pPr>
      <w:r w:rsidRPr="007721EE">
        <w:rPr>
          <w:rFonts w:ascii="Times New Roman" w:eastAsia="Calibri" w:hAnsi="Times New Roman" w:cs="Times New Roman"/>
          <w:b/>
          <w:sz w:val="28"/>
          <w:szCs w:val="28"/>
        </w:rPr>
        <w:t>РАЗЪЯСНЕНИЕ</w:t>
      </w:r>
      <w:r>
        <w:rPr>
          <w:rFonts w:ascii="Times New Roman" w:eastAsia="Calibri" w:hAnsi="Times New Roman" w:cs="Times New Roman"/>
          <w:b/>
          <w:sz w:val="28"/>
          <w:szCs w:val="28"/>
        </w:rPr>
        <w:t xml:space="preserve"> № 10</w:t>
      </w:r>
    </w:p>
    <w:p w:rsidR="007721EE" w:rsidRPr="007721EE" w:rsidRDefault="007721EE" w:rsidP="007721EE">
      <w:pPr>
        <w:spacing w:after="0" w:line="240" w:lineRule="auto"/>
        <w:jc w:val="center"/>
        <w:outlineLvl w:val="0"/>
        <w:rPr>
          <w:rFonts w:ascii="Times New Roman" w:eastAsia="Calibri" w:hAnsi="Times New Roman" w:cs="Times New Roman"/>
          <w:b/>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sz w:val="28"/>
          <w:szCs w:val="28"/>
          <w:u w:val="single"/>
        </w:rPr>
      </w:pPr>
      <w:r w:rsidRPr="007721EE">
        <w:rPr>
          <w:rFonts w:ascii="Times New Roman" w:eastAsia="Calibri" w:hAnsi="Times New Roman" w:cs="Times New Roman"/>
          <w:b/>
          <w:sz w:val="28"/>
          <w:szCs w:val="28"/>
        </w:rPr>
        <w:t xml:space="preserve">«О </w:t>
      </w:r>
      <w:r>
        <w:rPr>
          <w:rFonts w:ascii="Times New Roman" w:eastAsia="Calibri" w:hAnsi="Times New Roman" w:cs="Times New Roman"/>
          <w:b/>
          <w:sz w:val="28"/>
          <w:szCs w:val="28"/>
        </w:rPr>
        <w:t>ПРИМЕНЕНИИ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АНТИМОНОПОЛЬНЫМИ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ОРГАНАМИ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АНТИМОНОПОЛЬНОГО</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ЗАКОНОДАТЕЛЬСТВА В</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ЦЕЛЯХ</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ВЫЯВЛЕНИЯ 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ПРЕСЕЧЕНИЯ</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НАРУШЕНИЙ</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ПОРЯДКА ЦЕНООБРАЗОВАНИЯ</w:t>
      </w:r>
      <w:r w:rsidRPr="007721EE">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Настоящие разъяснения направлены на создание единообразной практики применения антимонопольными органами антимонопольного законодательства, связанной с нарушением порядка ценообразования, а также применения мер административной ответственности, предусмотренных статьями 9.21, 14.6 и 14.31 Кодекса Российской Федерации об административных правонарушениях (далее –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 При этом регулирование </w:t>
      </w:r>
      <w:r w:rsidRPr="007721EE">
        <w:rPr>
          <w:rFonts w:ascii="Times New Roman" w:eastAsia="Times New Roman" w:hAnsi="Times New Roman" w:cs="Times New Roman"/>
          <w:sz w:val="28"/>
          <w:szCs w:val="28"/>
          <w:lang w:eastAsia="ru-RU"/>
        </w:rPr>
        <w:lastRenderedPageBreak/>
        <w:t>таких цен осуществляется в соответствии с порядком, установленным соответствующими отраслевыми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соответствии с пунктом 81 Приложения № 19 к Договору о Евразийском экономическом союзе, подписанному в г. Астане 29.05.2014 (далее – Приложение № 19), введение государствами-членами государственного ценового регулирования на товарных рынках, не находящихся в состоянии естественной монополии, осуществляется в исключительных случаях, к которым относятся в том числе чрезвычайные ситуации, стихийные бедствия, соображения национальной безопасности, при условии, что возникшие проблемы невозможно решить способом, имеющим меньшие негативные последствия для состояния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пункты 82, 83 и 85 Приложения № 19 уточняют перечень сфер, в которых может быть введено государственное ценовое регулирование.</w:t>
      </w:r>
    </w:p>
    <w:p w:rsidR="007721EE" w:rsidRPr="007721EE" w:rsidRDefault="007721EE" w:rsidP="007721EE">
      <w:pPr>
        <w:spacing w:after="0" w:line="240" w:lineRule="auto"/>
        <w:ind w:firstLine="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1. Понятие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Исходя из нормативных правовых актов, регламентирующих порядок ценообразования в отдельных отраслях экономической деятельности, а также сложившейся судебной практики, под порядком ценообразования следует понимать формирование и/или расчет и/или установления и/или применение цен (тарифов) на продукцию, товары либо услуги.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Кроме того, поскольку регулируемые цены (тарифы), надбавки могут устанавливаться как в числовом выражении, так и в виде предельных уровней цен (тарифов), формул или порядка определения таких цен (тарифов) и надбавок, то порядок ценообразования также включает в себя применение предельных уровней цен (тарифов), формул или порядка определения таких цен (тарифов) и надбавок, установленных в соответствии с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Например, в соответствии с п. 7 постановления Правительства Российской Федерации от 23.04.2008 № 293 «О государственном регулировании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 тарифы устанавливаются в виде фиксированных (предельных максимальных или минимальных) ценовых ставок тарифов. Фиксированные (предельные максимальные или минимальные) ставки тарифов могут устанавливаться как в виде абсолютных значений, так и в виде индексов к действующему уровню тарифов.</w:t>
      </w:r>
    </w:p>
    <w:p w:rsidR="007721EE" w:rsidRPr="007721EE" w:rsidRDefault="007721EE" w:rsidP="007721EE">
      <w:pPr>
        <w:spacing w:after="0" w:line="240" w:lineRule="auto"/>
        <w:ind w:firstLine="709"/>
        <w:jc w:val="both"/>
        <w:rPr>
          <w:rFonts w:ascii="Times New Roman" w:eastAsia="Times New Roman" w:hAnsi="Times New Roman" w:cs="Times New Roman"/>
          <w:b/>
          <w:bCs/>
          <w:iCs/>
          <w:sz w:val="28"/>
          <w:szCs w:val="28"/>
          <w:lang w:eastAsia="ru-RU"/>
        </w:rPr>
      </w:pPr>
      <w:r w:rsidRPr="007721EE">
        <w:rPr>
          <w:rFonts w:ascii="Times New Roman" w:eastAsia="Times New Roman" w:hAnsi="Times New Roman" w:cs="Times New Roman"/>
          <w:b/>
          <w:bCs/>
          <w:iCs/>
          <w:sz w:val="28"/>
          <w:szCs w:val="28"/>
          <w:lang w:eastAsia="ru-RU"/>
        </w:rPr>
        <w:t>2. Составы правонарушений, ответственность за которые предусмотрена статьей 14.31 КоАП (в случае нарушения п. 10 ч. 1 ст. 10 Федерального закона от 26.07.2006 № 135-ФЗ «О защите конкуренции», далее - Закон о защите конкуренции) и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Пунктом 10 части 1 статьи 10 Закона о защите конкуренции</w:t>
      </w:r>
      <w:r w:rsidRPr="007721EE">
        <w:rPr>
          <w:rFonts w:ascii="Times New Roman" w:eastAsia="Times New Roman" w:hAnsi="Times New Roman" w:cs="Times New Roman"/>
          <w:sz w:val="28"/>
          <w:szCs w:val="28"/>
          <w:lang w:eastAsia="ru-RU"/>
        </w:rPr>
        <w:t xml:space="preserve"> установлен запрет на злоупотребление хозяйствующим субъектом доминирующим положением, результатом которого являются и (или) могут </w:t>
      </w:r>
      <w:r w:rsidRPr="007721EE">
        <w:rPr>
          <w:rFonts w:ascii="Times New Roman" w:eastAsia="Times New Roman" w:hAnsi="Times New Roman" w:cs="Times New Roman"/>
          <w:sz w:val="28"/>
          <w:szCs w:val="28"/>
          <w:lang w:eastAsia="ru-RU"/>
        </w:rPr>
        <w:lastRenderedPageBreak/>
        <w:t>являться недопущение, ограничение, устранение конкуренции 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нарушение установленного нормативными правовыми актами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Исходя из положений ч. 2 ст. 28.1 КоАП, принятие комиссией антимонопольного органа решения, которым установлен факт нарушения п. 10 ч. 1 ст. 10 Закона о защите конкуренции, является поводом к возбуждению дела об административном правонарушении и основанием для привлечения хозяйствующего субъекта, занимающего доминирующее положение на товарном рынке, к административной ответственности, предусмотренной положениями </w:t>
      </w:r>
      <w:r w:rsidRPr="007721EE">
        <w:rPr>
          <w:rFonts w:ascii="Times New Roman" w:eastAsia="Times New Roman" w:hAnsi="Times New Roman" w:cs="Times New Roman"/>
          <w:b/>
          <w:sz w:val="28"/>
          <w:szCs w:val="28"/>
          <w:lang w:eastAsia="ru-RU"/>
        </w:rPr>
        <w:t>ст. 14.31 КоАП</w:t>
      </w:r>
      <w:r w:rsidRPr="007721EE">
        <w:rPr>
          <w:rFonts w:ascii="Times New Roman" w:eastAsia="Times New Roman" w:hAnsi="Times New Roman" w:cs="Times New Roman"/>
          <w:sz w:val="28"/>
          <w:szCs w:val="28"/>
          <w:lang w:eastAsia="ru-RU"/>
        </w:rPr>
        <w:t>.</w:t>
      </w:r>
    </w:p>
    <w:p w:rsidR="007721EE" w:rsidRPr="007721EE" w:rsidRDefault="007721EE" w:rsidP="007721EE">
      <w:pPr>
        <w:spacing w:after="0" w:line="240" w:lineRule="auto"/>
        <w:ind w:firstLine="544"/>
        <w:jc w:val="both"/>
        <w:rPr>
          <w:rFonts w:ascii="Times New Roman" w:eastAsia="Times New Roman" w:hAnsi="Times New Roman" w:cs="Times New Roman"/>
          <w:sz w:val="21"/>
          <w:szCs w:val="21"/>
          <w:lang w:eastAsia="ru-RU"/>
        </w:rPr>
      </w:pPr>
      <w:r w:rsidRPr="007721EE">
        <w:rPr>
          <w:rFonts w:ascii="Times New Roman" w:eastAsia="Calibri" w:hAnsi="Times New Roman" w:cs="Times New Roman"/>
          <w:sz w:val="28"/>
          <w:szCs w:val="28"/>
        </w:rPr>
        <w:t>Объектом данного правонарушения являются общественные отношения, возникающие в процессе осуществления хозяйствующим субъектом, занимающим доминирующее положение на рынке, предпринимательской деятельности, при осуществлении которой обязательным является, в том числе соблюдение таких конституционных принципов, как единство экономического пространства, свободное перемещение товаров, свобода экономической деятельности, защита конкуренции и создание условий для эффективного функционирования товарных рынков. При этом объектами защиты, охраняемыми мерами административной ответственности, являются конкуренция, интересы хозяйствующих субъектов в сфере предпринимательской деятельности, а также интересы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Субъектом</w:t>
      </w:r>
      <w:r w:rsidRPr="007721EE">
        <w:rPr>
          <w:rFonts w:ascii="Times New Roman" w:eastAsia="Times New Roman" w:hAnsi="Times New Roman" w:cs="Times New Roman"/>
          <w:b/>
          <w:bCs/>
          <w:color w:val="000000"/>
          <w:sz w:val="28"/>
          <w:szCs w:val="28"/>
          <w:lang w:eastAsia="ru-RU"/>
        </w:rPr>
        <w:t xml:space="preserve"> </w:t>
      </w:r>
      <w:r w:rsidRPr="007721EE">
        <w:rPr>
          <w:rFonts w:ascii="Times New Roman" w:eastAsia="Times New Roman" w:hAnsi="Times New Roman" w:cs="Times New Roman"/>
          <w:bCs/>
          <w:color w:val="000000"/>
          <w:sz w:val="28"/>
          <w:szCs w:val="28"/>
          <w:lang w:eastAsia="ru-RU"/>
        </w:rPr>
        <w:t>данного правонарушения</w:t>
      </w:r>
      <w:r w:rsidRPr="007721EE">
        <w:rPr>
          <w:rFonts w:ascii="Times New Roman" w:eastAsia="Times New Roman" w:hAnsi="Times New Roman" w:cs="Times New Roman"/>
          <w:color w:val="000000"/>
          <w:sz w:val="28"/>
          <w:szCs w:val="28"/>
          <w:lang w:eastAsia="ru-RU"/>
        </w:rPr>
        <w:t xml:space="preserve"> является хозяйствующий субъект, занимающий доминирующее положение на товарном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злоупотреблением доминирующим положением и недопустимых в соответствии с антимонопольным законодательством.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при квалификации действий хозяйствующего субъекта по данному составу правонарушения необходимо, чтобы на соответствующем товарном рынке он занимал доминирующее положение и совершил действие (бездействие) в сфере установленного нормативными правовыми актами порядка ценообразования, характеризующееся как злоупотребление этим положением.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Следует обратить внимание, что если завышение регулируемых государством цен (тарифов, расценок, ставок и т.п.), в том числе их предельных уровней, а также самостоятельное определение (без обращения в установленном порядке в регулирующий орган) таких цен (тарифов, расценок, ставок, надбавок и т.п.) хозяйствующим субъектом, занимающим доминирующее положение на товарном рынке, приводит или может привести к ущемлению интересов других хозяйствующих субъектов в сфере предпринимательской деятельности или неопределенного круга </w:t>
      </w:r>
      <w:r w:rsidRPr="007721EE">
        <w:rPr>
          <w:rFonts w:ascii="Times New Roman" w:eastAsia="Times New Roman" w:hAnsi="Times New Roman" w:cs="Times New Roman"/>
          <w:sz w:val="28"/>
          <w:szCs w:val="28"/>
          <w:lang w:eastAsia="ru-RU"/>
        </w:rPr>
        <w:lastRenderedPageBreak/>
        <w:t>потребителей, то занижение указанных цен (тарифов, расценок, ставок и т.п.), как правило, не приводит к ущемлению интересов хозяйствующих субъектов либо неопределенного круга потребителей, в отношении которых применяются заниженные цены (тарифы), в связи с чем не может рассматриваться как нарушение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рассматриваемого правонарушения состоит в наличии вины. При этом следует обратить внимание, что в силу ч. 2 ст. 2.1 КоАП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
          <w:color w:val="000000"/>
          <w:sz w:val="28"/>
          <w:szCs w:val="28"/>
          <w:lang w:eastAsia="ru-RU"/>
        </w:rPr>
        <w:t>Статьей 14.6 КоАП</w:t>
      </w:r>
      <w:r w:rsidRPr="007721EE">
        <w:rPr>
          <w:rFonts w:ascii="Times New Roman" w:eastAsia="Times New Roman" w:hAnsi="Times New Roman" w:cs="Times New Roman"/>
          <w:i/>
          <w:color w:val="000000"/>
          <w:sz w:val="28"/>
          <w:szCs w:val="28"/>
          <w:lang w:eastAsia="ru-RU"/>
        </w:rPr>
        <w:t xml:space="preserve"> </w:t>
      </w:r>
      <w:r w:rsidRPr="007721EE">
        <w:rPr>
          <w:rFonts w:ascii="Times New Roman" w:eastAsia="Times New Roman" w:hAnsi="Times New Roman" w:cs="Times New Roman"/>
          <w:color w:val="000000"/>
          <w:sz w:val="28"/>
          <w:szCs w:val="28"/>
          <w:lang w:eastAsia="ru-RU"/>
        </w:rPr>
        <w:t>предусмотрена административная ответственность за нарушение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color w:val="000000"/>
          <w:sz w:val="28"/>
          <w:szCs w:val="28"/>
          <w:lang w:eastAsia="ru-RU"/>
        </w:rPr>
        <w:t>Объектом данного правонарушения являются отношения, складывающиеся в предпринимательской деятельности по поводу продажи (поставки) отдельной продукции или товаров, оказания отдельных видов услуг, цены (тарифы) на которые подлежат государственному регулированию. 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Субъектами административного правонарушения</w:t>
      </w:r>
      <w:r w:rsidRPr="007721EE">
        <w:rPr>
          <w:rFonts w:ascii="Times New Roman" w:eastAsia="Times New Roman" w:hAnsi="Times New Roman" w:cs="Times New Roman"/>
          <w:color w:val="000000"/>
          <w:sz w:val="28"/>
          <w:szCs w:val="28"/>
          <w:lang w:eastAsia="ru-RU"/>
        </w:rPr>
        <w:t>, ответственность за совершение которого предусмотрена статьей 14.6 КоАП, являются граждане, должностные лица, юридические лица, осуществляющие продажу (поставку) продукции или товаров, оказание услуг, цены (тарифы) на которые подлежат государственному регулированию.</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нарушением порядка ценообразования, а именно:</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37" w:history="1">
        <w:r w:rsidRPr="007721EE">
          <w:rPr>
            <w:rFonts w:ascii="Times New Roman" w:eastAsia="Times New Roman" w:hAnsi="Times New Roman" w:cs="Times New Roman"/>
            <w:sz w:val="28"/>
            <w:szCs w:val="28"/>
            <w:lang w:eastAsia="ru-RU"/>
          </w:rPr>
          <w:t>максимальной розничной цены</w:t>
        </w:r>
      </w:hyperlink>
      <w:r w:rsidRPr="007721EE">
        <w:rPr>
          <w:rFonts w:ascii="Times New Roman" w:eastAsia="Times New Roman" w:hAnsi="Times New Roman" w:cs="Times New Roman"/>
          <w:sz w:val="28"/>
          <w:szCs w:val="28"/>
          <w:lang w:eastAsia="ru-RU"/>
        </w:rPr>
        <w:t>, указанной производителем на каждой потребительской упаковке (пачке);</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w:t>
      </w:r>
      <w:r w:rsidRPr="007721EE">
        <w:rPr>
          <w:rFonts w:ascii="Times New Roman" w:eastAsia="Calibri" w:hAnsi="Times New Roman" w:cs="Times New Roman"/>
          <w:sz w:val="28"/>
          <w:szCs w:val="28"/>
          <w:lang w:eastAsia="ru-RU"/>
        </w:rPr>
        <w:lastRenderedPageBreak/>
        <w:t>надбавок (наценок) к ценам (тарифам, расценкам, ставкам и тому подобному);</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3) нарушение установленного порядка регулирования цен (тарифов, расценок, ставок и тому подобного);</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4) иное нарушение установленного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с учетом изложенного выше, в качестве нарушения, квалифицируемого по п. 10 ч. 1 ст. 10 Закона о защите конкуренции, ответственность за которое предусмотрена ст. 14.31 КоАП, следует рассматривать действия (бездействие) хозяйствующего субъекта, занимающего доминирующее положение на товарном рынке, выразившиеся в завышении регулируемых государством цен (тарифов, расценок, ставок и т.п.), в том числе их предельных уровней, и (или) в самостоятельном определении (без обращения в установленном порядке в регулирующий орган) таких цен (тарифов, расценок, ставок, надбавок и т.п.), которые привели или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качестве нарушения, ответственность за которое предусмотрена статьей 14.6 КоАП, рассматриваются: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1) действия хозяйствующего субъекта, занимающего доминирующее положение на товарном рынке, выразившиеся в занижении регулируемых государством цен (тарифов, расценок, ставок и т.п.), в том числе их предельных уровней;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2)  действия (бездействие) хозяйствующего субъекта, занимающего доминирующее положение на товарном рынке, которые не привели и не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 в частности, если такие действия (бездействие) привели к ущемлению интересов отдельного физического лица;</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3) действия (бездействие) хозяйствующих субъектов, не занимающих доминирующее положение на товарном рынке, которые предусмотрены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4) действия (бездействие) органов власти (их должностных лиц), уполномоченных на осуществление государственного регулирования цен (тарифов), выразившиеся в нарушениях установленного порядка ценообразования, ответственность за которые предусмотрена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14.6 КоАП, состоит в наличии вины.</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3. Специальный характер норм статьи 14.31 КоАП при установлении нарушения п. 10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Ответственность за нарушение п. 10 ч. 1 ст. 10 Закона о защите конкуренции установлена статьей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lastRenderedPageBreak/>
        <w:t>Статьи 14.6 и 14.31 КоАП содержатся в одной главе КоАП - Глава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Вместе с тем объективную сторону правонарушения, предусмотренного статьей 14.31 КоАП образуют деяния, выразившиеся в злоупотреблении доминирующим положением, которое может быть установлено, в том числе в случаях нарушения п. 10 ч. 1 ст. 10 Закона о защите конкуренции. При этом ст. 14.31 КоАП предусматривает специальный субъектный состав – хозяйствующий субъект, занимающий доминирующее положение на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положения ст. 14.31 КоАП являются специальными по отношению к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действия хозяйствующего субъекта, занимающего доминирующее положение на рынке и злоупотребившего таким положением, выразившиеся в нарушении установленного порядка ценообразования, в том числе в случаях завышения регулируемых государством цен (тарифов, расценок, ставок, и т.п.), их предельных уровней, квалифицированные в качестве нарушения п. 10 ч. 1 ст. 10 Закона о защите конкуренции, не могут быть квалифицированы в качестве нарушения ст. 14.6 КоАП, а должны быть квалифицированы в качестве нарушения ст.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proofErr w:type="gramStart"/>
      <w:r w:rsidRPr="007721EE">
        <w:rPr>
          <w:rFonts w:ascii="Times New Roman" w:eastAsia="Times New Roman" w:hAnsi="Times New Roman" w:cs="Times New Roman"/>
          <w:sz w:val="28"/>
          <w:szCs w:val="28"/>
          <w:lang w:eastAsia="ru-RU"/>
        </w:rPr>
        <w:t>Изложенная позиция о приоритете норм ст. 14.31 КоАП над ст. 14.6 КоАП в случаях злоупотребления доминирующим положением путем нарушения установленного порядка ценообразования подтверждается сложившейся судебной практикой (например:</w:t>
      </w:r>
      <w:r w:rsidRPr="007721EE">
        <w:rPr>
          <w:rFonts w:ascii="Times New Roman" w:eastAsia="Times New Roman" w:hAnsi="Times New Roman" w:cs="Times New Roman"/>
          <w:sz w:val="24"/>
          <w:szCs w:val="24"/>
          <w:lang w:eastAsia="ru-RU"/>
        </w:rPr>
        <w:t xml:space="preserve"> </w:t>
      </w:r>
      <w:r w:rsidRPr="007721EE">
        <w:rPr>
          <w:rFonts w:ascii="Times New Roman" w:eastAsia="Times New Roman" w:hAnsi="Times New Roman" w:cs="Times New Roman"/>
          <w:sz w:val="28"/>
          <w:szCs w:val="28"/>
          <w:lang w:eastAsia="ru-RU"/>
        </w:rPr>
        <w:t>постановление ФАС Восточно-Сибирского округа от 20.02.2014 по делу № А58-2490/2013;</w:t>
      </w:r>
      <w:r w:rsidRPr="007721EE">
        <w:rPr>
          <w:rFonts w:ascii="Times New Roman" w:eastAsia="Times New Roman" w:hAnsi="Times New Roman" w:cs="Times New Roman"/>
          <w:sz w:val="24"/>
          <w:szCs w:val="24"/>
          <w:lang w:eastAsia="ru-RU"/>
        </w:rPr>
        <w:t xml:space="preserve"> </w:t>
      </w:r>
      <w:r w:rsidRPr="007721EE">
        <w:rPr>
          <w:rFonts w:ascii="Times New Roman" w:eastAsia="Times New Roman" w:hAnsi="Times New Roman" w:cs="Times New Roman"/>
          <w:sz w:val="28"/>
          <w:szCs w:val="28"/>
          <w:lang w:eastAsia="ru-RU"/>
        </w:rPr>
        <w:t>постановление ФАС Московского округа от 24.02.2012 по делу № А40-34990/11-139-245).</w:t>
      </w:r>
      <w:proofErr w:type="gramEnd"/>
    </w:p>
    <w:p w:rsidR="007721EE" w:rsidRPr="007721EE" w:rsidRDefault="007721EE" w:rsidP="007721EE">
      <w:pPr>
        <w:spacing w:after="0" w:line="240" w:lineRule="auto"/>
        <w:ind w:left="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4. Соотношение норм статей 9.21, 14.6 и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Рассматриваемые статьи КоАП содержатся в разных главах КоАП: ст. 9.21 - в Главе 9 «Административные правонарушения в промышленности, строительстве и энергетике»; ст. 14.6 и ст. 14.31 - в Главе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В соответствии со статьей 9.21 КоАП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w:t>
      </w:r>
      <w:r w:rsidRPr="007721EE">
        <w:rPr>
          <w:rFonts w:ascii="Times New Roman" w:eastAsia="Times New Roman" w:hAnsi="Times New Roman" w:cs="Times New Roman"/>
          <w:sz w:val="28"/>
          <w:szCs w:val="28"/>
          <w:lang w:eastAsia="ru-RU"/>
        </w:rPr>
        <w:lastRenderedPageBreak/>
        <w:t>транспортировке воды по их водопроводным сетям и (или) транспортировке сточных вод по их канализационным сетям.</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Диспозиция ст. 9.21 КоАП предусматривает специальную объективную сторону и специальный субъектный состав по отношению к объективной стороне и субъектному составу, предусмотренным ст. 14.6 и 14.31 КоАП. При этом </w:t>
      </w:r>
      <w:r w:rsidRPr="007721EE">
        <w:rPr>
          <w:rFonts w:ascii="Times New Roman" w:eastAsia="Calibri" w:hAnsi="Times New Roman" w:cs="Times New Roman"/>
          <w:sz w:val="28"/>
          <w:szCs w:val="28"/>
          <w:lang w:eastAsia="ru-RU"/>
        </w:rPr>
        <w:t>следует обратить внимание на то, что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 решением Президиума ФАС России от 30.11.2016 (разъяснения № 7).</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4.1.</w:t>
      </w:r>
      <w:r w:rsidRPr="007721EE">
        <w:rPr>
          <w:rFonts w:ascii="Times New Roman" w:eastAsia="Times New Roman" w:hAnsi="Times New Roman" w:cs="Times New Roman"/>
          <w:sz w:val="28"/>
          <w:szCs w:val="28"/>
          <w:lang w:eastAsia="ru-RU"/>
        </w:rPr>
        <w:t> Правила (порядок обеспечения) недискриминационного доступа, порядок подключения (технологическое присоединения), утвержденные постановлениями Правительства Российской Федерации от 27.12.2004 № 861, от 29.03.2011 № 218, от 17.02.2011 № 90, от 21.12.2009 № 1039, от 13.02.2006 № 83, от 30.12.2013 № 1314, от 24.11.1998 № 1370, от 16.04.2012 № 307, от 29.07.2013 № 644, от 29.07.2013 № 642, предусматривают, что ими определяются, в том числе: процедуры подключения (технологического присоединения) к указанным выше объектам; порядок направления технических условий на подключение (технологическое присоединение) и требования к содержанию указанных документов; существенные условия договора о подключении (технологическом присоединении), к которым относится, в том числе размер платы за подключение (технологическое присоединение); порядок исполнения сторонами договора о подключении (технологическом присоединении) мероприятий и обязательств по договору, в том числе по внесению платы за подключение (технологическое присоединение).</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с учетом положений законодательства Российской Федерации определение субъектом естественной монополии, к объектам которого осуществляется подключение (технологическое присоединение) размера платы за подключение (технологическое присоединение) является составной частью процедуры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поскольку в ответ на заявку о подключении (технологическом присоединении) указанным субъектом должны быть направлены технические условия и (или) проект договора, в котором размер платы за подключение (технологическое присоединение) должен соответствовать требованиям, установленным нормативными правовыми актами.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Так, например, согласно п. </w:t>
      </w:r>
      <w:r w:rsidRPr="007721EE">
        <w:rPr>
          <w:rFonts w:ascii="Times New Roman" w:eastAsia="Calibri" w:hAnsi="Times New Roman" w:cs="Times New Roman"/>
          <w:sz w:val="28"/>
          <w:szCs w:val="28"/>
          <w:lang w:eastAsia="ru-RU"/>
        </w:rPr>
        <w:t xml:space="preserve">6 </w:t>
      </w:r>
      <w:r w:rsidRPr="007721EE">
        <w:rPr>
          <w:rFonts w:ascii="Times New Roman" w:eastAsia="Times New Roman" w:hAnsi="Times New Roman" w:cs="Times New Roman"/>
          <w:sz w:val="28"/>
          <w:szCs w:val="28"/>
          <w:lang w:eastAsia="ru-RU"/>
        </w:rPr>
        <w:t xml:space="preserve">Правил технологического присоединения </w:t>
      </w:r>
      <w:proofErr w:type="spellStart"/>
      <w:r w:rsidRPr="007721EE">
        <w:rPr>
          <w:rFonts w:ascii="Times New Roman" w:eastAsia="Times New Roman" w:hAnsi="Times New Roman" w:cs="Times New Roman"/>
          <w:sz w:val="28"/>
          <w:szCs w:val="28"/>
          <w:lang w:eastAsia="ru-RU"/>
        </w:rPr>
        <w:t>энергопринимающих</w:t>
      </w:r>
      <w:proofErr w:type="spellEnd"/>
      <w:r w:rsidRPr="007721EE">
        <w:rPr>
          <w:rFonts w:ascii="Times New Roman" w:eastAsia="Times New Roman" w:hAnsi="Times New Roman" w:cs="Times New Roman"/>
          <w:sz w:val="28"/>
          <w:szCs w:val="28"/>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w:t>
      </w:r>
      <w:r w:rsidRPr="007721EE">
        <w:rPr>
          <w:rFonts w:ascii="Times New Roman" w:eastAsia="Times New Roman" w:hAnsi="Times New Roman" w:cs="Times New Roman"/>
          <w:sz w:val="28"/>
          <w:szCs w:val="28"/>
          <w:lang w:eastAsia="ru-RU"/>
        </w:rPr>
        <w:lastRenderedPageBreak/>
        <w:t xml:space="preserve">лицам, к электрическим сетям, </w:t>
      </w:r>
      <w:r w:rsidRPr="007721EE">
        <w:rPr>
          <w:rFonts w:ascii="Times New Roman" w:eastAsia="Calibri" w:hAnsi="Times New Roman" w:cs="Times New Roman"/>
          <w:sz w:val="28"/>
          <w:szCs w:val="28"/>
          <w:lang w:eastAsia="ru-RU"/>
        </w:rPr>
        <w:t>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технологического присоединения), т</w:t>
      </w:r>
      <w:r w:rsidRPr="007721EE">
        <w:rPr>
          <w:rFonts w:ascii="Times New Roman" w:eastAsia="Calibri" w:hAnsi="Times New Roman" w:cs="Times New Roman"/>
          <w:sz w:val="28"/>
          <w:szCs w:val="28"/>
          <w:lang w:eastAsia="ru-RU"/>
        </w:rPr>
        <w:t>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В пункте 7 Правил технологического присоединения прямо предусмотрено, что заключение договора является одним из этапов процедуры технологического присоединения.</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Согласно </w:t>
      </w:r>
      <w:r w:rsidRPr="007721EE">
        <w:rPr>
          <w:rFonts w:ascii="Times New Roman" w:eastAsia="Times New Roman" w:hAnsi="Times New Roman" w:cs="Times New Roman"/>
          <w:sz w:val="28"/>
          <w:szCs w:val="28"/>
          <w:lang w:eastAsia="ru-RU"/>
        </w:rPr>
        <w:t>п. 15 Правил технологического присоединения сетевая организация направляет в адрес заявителей для подписания заполненный и подписанный проект договора в 2 экземплярах и технические условия как неотъемлемое приложение к договору. При этом сетевая организация направляет проект договора, составленный в соответствии с типовым договором для соответствующей категории заявителей по формам согласно Приложениям №№ 8 – 12 к Правилам технологического присоединения.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Кроме того, в соответствии с п. 16 Правил технологического присоединения договор об осуществлении технологического присоединения должен содержать, в том числе следующее существенное условие: </w:t>
      </w:r>
      <w:r w:rsidRPr="007721EE">
        <w:rPr>
          <w:rFonts w:ascii="Times New Roman" w:eastAsia="Calibri" w:hAnsi="Times New Roman" w:cs="Times New Roman"/>
          <w:sz w:val="28"/>
          <w:szCs w:val="28"/>
          <w:lang w:eastAsia="ru-RU"/>
        </w:rPr>
        <w:t xml:space="preserve">размер платы за технологическое присоединение, определяемый в соответствии с </w:t>
      </w:r>
      <w:hyperlink r:id="rId38"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r:id="rId39" w:history="1">
        <w:r w:rsidRPr="007721EE">
          <w:rPr>
            <w:rFonts w:ascii="Times New Roman" w:eastAsia="Calibri" w:hAnsi="Times New Roman" w:cs="Times New Roman"/>
            <w:sz w:val="28"/>
            <w:szCs w:val="28"/>
            <w:lang w:eastAsia="ru-RU"/>
          </w:rPr>
          <w:t>разделом III</w:t>
        </w:r>
      </w:hyperlink>
      <w:r w:rsidRPr="007721EE">
        <w:rPr>
          <w:rFonts w:ascii="Times New Roman" w:eastAsia="Calibri" w:hAnsi="Times New Roman" w:cs="Times New Roman"/>
          <w:sz w:val="28"/>
          <w:szCs w:val="28"/>
          <w:lang w:eastAsia="ru-RU"/>
        </w:rPr>
        <w:t xml:space="preserve"> настоящих Правил).</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Порядок подключения объектов к сетям газораспределения урегулирован Правилами подключения (технологического присоединения) объектов капитального строительства к сетям газораспределения, утвержденного постановлением Правительства Российской Федерации от 30.12.2013 № 1314 (далее – Правила подключения).</w:t>
      </w:r>
    </w:p>
    <w:p w:rsidR="007721EE" w:rsidRPr="007721EE" w:rsidRDefault="007721EE" w:rsidP="007721E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Согласно пунктам 3, 59 Правил подключения одним из этапов процедуры подключения </w:t>
      </w:r>
      <w:r w:rsidRPr="007721EE">
        <w:rPr>
          <w:rFonts w:ascii="Times New Roman" w:eastAsia="Calibri" w:hAnsi="Times New Roman" w:cs="Times New Roman"/>
          <w:sz w:val="28"/>
          <w:szCs w:val="28"/>
          <w:lang w:eastAsia="ru-RU"/>
        </w:rPr>
        <w:t>(технологического присоединения) объектов капитального строительства к сети газораспределения является заключение договора о подключении; подключение объектов капитального строительства к сети газораспределения осуществляется на основании договора о подключении.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Согласно пунктам 62, 74 Правил подключения договор о подключении является публичным и заключается в порядке, установленном ГК РФ, с соблюдением особенностей, определенных Правилами подключения. При представлении заявителем сведений и документов в полном объеме, исполнитель в течение 30 дней со дня получения заявки о подключении (технологическом присоединении) направляет заявителю подписанный со своей стороны проект договора о подключении в 2-х экземплярах.</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При этом в соответствии с п. 83 Правил подключения договор о подключении содержит, в том числе следующее существенное условие: </w:t>
      </w:r>
      <w:r w:rsidRPr="007721EE">
        <w:rPr>
          <w:rFonts w:ascii="Times New Roman" w:eastAsia="Calibri" w:hAnsi="Times New Roman" w:cs="Times New Roman"/>
          <w:sz w:val="28"/>
          <w:szCs w:val="28"/>
          <w:lang w:eastAsia="ru-RU"/>
        </w:rPr>
        <w:lastRenderedPageBreak/>
        <w:t xml:space="preserve">размер платы за технологическое присоединение, определяемый в соответствии с </w:t>
      </w:r>
      <w:hyperlink r:id="rId40"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газоснабжения.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 учетом изложенного, нарушение субъектами естественных монополий, к объектам которых осуществляется подключение (технологическое присоединение), установленного нормативными правовыми актами порядка ценообразования, в частности, завышение или занижение размера платы за подключение (технологическое присоединение), а равно иное нарушение порядка ценообразования при осуществлении процедур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Данная позиция основывается, в том числе на выводах судебных органов, отраженных во вступивших в силу постановлении</w:t>
      </w:r>
      <w:proofErr w:type="gramStart"/>
      <w:r w:rsidRPr="007721EE">
        <w:rPr>
          <w:rFonts w:ascii="Times New Roman" w:eastAsia="Times New Roman" w:hAnsi="Times New Roman" w:cs="Times New Roman"/>
          <w:sz w:val="28"/>
          <w:szCs w:val="28"/>
          <w:lang w:eastAsia="ru-RU"/>
        </w:rPr>
        <w:t xml:space="preserve"> Д</w:t>
      </w:r>
      <w:proofErr w:type="gramEnd"/>
      <w:r w:rsidRPr="007721EE">
        <w:rPr>
          <w:rFonts w:ascii="Times New Roman" w:eastAsia="Times New Roman" w:hAnsi="Times New Roman" w:cs="Times New Roman"/>
          <w:sz w:val="28"/>
          <w:szCs w:val="28"/>
          <w:lang w:eastAsia="ru-RU"/>
        </w:rPr>
        <w:t>евятнадцатого арбитражного апелляционного суда от 22.09.2016 по делу № А64-2612/2016, определении АС Северо-Кавказского округа от 05.04.2017 по делу № А53-13160/2016.</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b/>
          <w:sz w:val="28"/>
          <w:szCs w:val="28"/>
          <w:lang w:eastAsia="ru-RU"/>
        </w:rPr>
        <w:t>4.2.</w:t>
      </w:r>
      <w:r w:rsidRPr="007721EE">
        <w:rPr>
          <w:rFonts w:ascii="Times New Roman" w:eastAsia="Times New Roman" w:hAnsi="Times New Roman" w:cs="Times New Roman"/>
          <w:sz w:val="28"/>
          <w:szCs w:val="28"/>
          <w:lang w:eastAsia="ru-RU"/>
        </w:rPr>
        <w:t> С</w:t>
      </w:r>
      <w:r w:rsidRPr="007721EE">
        <w:rPr>
          <w:rFonts w:ascii="Times New Roman" w:eastAsia="Calibri" w:hAnsi="Times New Roman" w:cs="Times New Roman"/>
          <w:sz w:val="28"/>
          <w:szCs w:val="28"/>
          <w:lang w:eastAsia="ru-RU"/>
        </w:rPr>
        <w:t>огласно п. 6 Правил недискриминационного доступа к услугам по передаче электрической энергии, 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недискриминационного доступа к услугам по передаче электрической энергии), </w:t>
      </w:r>
      <w:r w:rsidRPr="007721EE">
        <w:rPr>
          <w:rFonts w:ascii="Times New Roman" w:eastAsia="Calibri" w:hAnsi="Times New Roman" w:cs="Times New Roman"/>
          <w:sz w:val="28"/>
          <w:szCs w:val="28"/>
          <w:lang w:eastAsia="ru-RU"/>
        </w:rPr>
        <w:t xml:space="preserve">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7721EE">
        <w:rPr>
          <w:rFonts w:ascii="Times New Roman" w:eastAsia="Calibri" w:hAnsi="Times New Roman" w:cs="Times New Roman"/>
          <w:sz w:val="28"/>
          <w:szCs w:val="28"/>
          <w:lang w:eastAsia="ru-RU"/>
        </w:rPr>
        <w:t>энергопринимающее</w:t>
      </w:r>
      <w:proofErr w:type="spellEnd"/>
      <w:r w:rsidRPr="007721EE">
        <w:rPr>
          <w:rFonts w:ascii="Times New Roman" w:eastAsia="Calibri" w:hAnsi="Times New Roman" w:cs="Times New Roman"/>
          <w:sz w:val="28"/>
          <w:szCs w:val="28"/>
          <w:lang w:eastAsia="ru-RU"/>
        </w:rPr>
        <w:t xml:space="preserve"> устройство потребителя, не вправе препятствовать </w:t>
      </w:r>
      <w:proofErr w:type="spellStart"/>
      <w:r w:rsidRPr="007721EE">
        <w:rPr>
          <w:rFonts w:ascii="Times New Roman" w:eastAsia="Calibri" w:hAnsi="Times New Roman" w:cs="Times New Roman"/>
          <w:sz w:val="28"/>
          <w:szCs w:val="28"/>
          <w:lang w:eastAsia="ru-RU"/>
        </w:rPr>
        <w:t>перетоку</w:t>
      </w:r>
      <w:proofErr w:type="spellEnd"/>
      <w:r w:rsidRPr="007721EE">
        <w:rPr>
          <w:rFonts w:ascii="Times New Roman" w:eastAsia="Calibri" w:hAnsi="Times New Roman" w:cs="Times New Roman"/>
          <w:sz w:val="28"/>
          <w:szCs w:val="28"/>
          <w:lang w:eastAsia="ru-RU"/>
        </w:rPr>
        <w:t xml:space="preserve"> через их объекты электрической энергии для такого потребителя и требовать за это оплату. 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7721EE">
        <w:rPr>
          <w:rFonts w:ascii="Times New Roman" w:eastAsia="Calibri" w:hAnsi="Times New Roman" w:cs="Times New Roman"/>
          <w:sz w:val="28"/>
          <w:szCs w:val="28"/>
          <w:lang w:eastAsia="ru-RU"/>
        </w:rPr>
        <w:t>энергопринимающее</w:t>
      </w:r>
      <w:proofErr w:type="spellEnd"/>
      <w:r w:rsidRPr="007721EE">
        <w:rPr>
          <w:rFonts w:ascii="Times New Roman" w:eastAsia="Calibri" w:hAnsi="Times New Roman" w:cs="Times New Roman"/>
          <w:sz w:val="28"/>
          <w:szCs w:val="28"/>
          <w:lang w:eastAsia="ru-RU"/>
        </w:rPr>
        <w:t xml:space="preserve">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В соответствии с ч. 3 ст. 11 Федерального закона от 07.12.2011 № 416-ФЗ «О водоснабжении и водоотведении» (далее – Закон о водоснабжении)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w:t>
      </w:r>
      <w:r w:rsidRPr="007721EE">
        <w:rPr>
          <w:rFonts w:ascii="Times New Roman" w:eastAsia="Calibri" w:hAnsi="Times New Roman" w:cs="Times New Roman"/>
          <w:sz w:val="28"/>
          <w:szCs w:val="28"/>
          <w:lang w:eastAsia="ru-RU"/>
        </w:rPr>
        <w:lastRenderedPageBreak/>
        <w:t>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При этом взимание платы за </w:t>
      </w:r>
      <w:proofErr w:type="spellStart"/>
      <w:r w:rsidRPr="007721EE">
        <w:rPr>
          <w:rFonts w:ascii="Times New Roman" w:eastAsia="Calibri" w:hAnsi="Times New Roman" w:cs="Times New Roman"/>
          <w:sz w:val="28"/>
          <w:szCs w:val="28"/>
          <w:lang w:eastAsia="ru-RU"/>
        </w:rPr>
        <w:t>переток</w:t>
      </w:r>
      <w:proofErr w:type="spellEnd"/>
      <w:r w:rsidRPr="007721EE">
        <w:rPr>
          <w:rFonts w:ascii="Times New Roman" w:eastAsia="Calibri" w:hAnsi="Times New Roman" w:cs="Times New Roman"/>
          <w:sz w:val="28"/>
          <w:szCs w:val="28"/>
          <w:lang w:eastAsia="ru-RU"/>
        </w:rPr>
        <w:t xml:space="preserve"> (транспортировку) ресурсов является нарушением правил (порядка обеспечения) недискриминационного доступа, если такой запрет прямо предусмотрен соответствующими правилами недискриминационного доступа (например, п. 6 Правил недискриминационного доступа к услугам по передаче электрической энергии), либо нарушением соответствующего федерального закона, если запрет прямо предусмотрен таким законом (например, ч.3 ст. 11 Закона о водоснабжении) и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highlight w:val="yellow"/>
          <w:lang w:eastAsia="ru-RU"/>
        </w:rPr>
      </w:pPr>
      <w:r w:rsidRPr="007721EE">
        <w:rPr>
          <w:rFonts w:ascii="Times New Roman" w:eastAsia="Times New Roman" w:hAnsi="Times New Roman" w:cs="Times New Roman"/>
          <w:sz w:val="28"/>
          <w:szCs w:val="28"/>
          <w:lang w:eastAsia="ru-RU"/>
        </w:rPr>
        <w:t>Данная позиция находит подтверждение в складывающейся судебной практике (например, постановление Восьмого арбитражного апелляционного суда от 27.10.2016 по делу № А46-7561/2016, постановление Пятнадцатого арбитражного апелляционного суда от 27.02.2017 по делу № А53-27309/2016, решение Арбитражного суда города Москвы от 11.11.2016 по делу № А40-186642/16-79-1609, решение Арбитражного суда Тюменской области от 29.08.2016 по делу № А70-7858/2016).</w:t>
      </w:r>
    </w:p>
    <w:p w:rsidR="007721EE" w:rsidRPr="007721EE" w:rsidRDefault="007721EE" w:rsidP="007721EE">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ab/>
      </w:r>
      <w:r w:rsidRPr="007721EE">
        <w:rPr>
          <w:rFonts w:ascii="Times New Roman" w:eastAsia="Calibri" w:hAnsi="Times New Roman" w:cs="Times New Roman"/>
          <w:sz w:val="28"/>
          <w:szCs w:val="28"/>
          <w:lang w:eastAsia="ru-RU"/>
        </w:rPr>
        <w:t>С учетом изложенного, в случае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статьям 14.6,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t>5.1.</w:t>
      </w:r>
      <w:r w:rsidRPr="007721EE">
        <w:rPr>
          <w:rFonts w:ascii="Times New Roman" w:eastAsia="Calibri" w:hAnsi="Times New Roman" w:cs="Times New Roman"/>
          <w:sz w:val="28"/>
          <w:szCs w:val="28"/>
          <w:lang w:eastAsia="ru-RU"/>
        </w:rPr>
        <w:t> В случае получения антимонопольным органом сообщений, заявлений, обращений о нарушении установленного порядка ценообразования, ответственность за которое предусмотрена статьей 9.21 КоАП, антимонопольный орган, в силу ч. 1 ст. 28.1, ч. 1 ст. 28.5 КоАП, обязан немедленно составить протокол об административном правонарушении или принять решение о возбуждении дела об административном правонарушении и проведении административного расследования. В случае проведения административного расследования протокол в соответствии с ч. 3 ст. 28.5 КоАП составляется немедленно после выявления факта совершения административного правонарушения или соответственно по окончании расследования в сроки, предусмотренные статьей 28.7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lastRenderedPageBreak/>
        <w:t>5.2.</w:t>
      </w:r>
      <w:r w:rsidRPr="007721EE">
        <w:rPr>
          <w:rFonts w:ascii="Times New Roman" w:eastAsia="Calibri" w:hAnsi="Times New Roman" w:cs="Times New Roman"/>
          <w:sz w:val="28"/>
          <w:szCs w:val="28"/>
          <w:lang w:eastAsia="ru-RU"/>
        </w:rPr>
        <w:t> В случае отсутствия в рассматриваемых действиях (бездействии) признаков нарушения ст. 9.21 КоАП (с учетом Разъяснений Президиума ФАС России от 30.11.2016 № 7 и настоящих Разъяснений), а также признаков п. 10 ч. 1 ст. 10 Закона о защите конкуренции (к примеру, нарушение установленного порядка ценообразования субъектом, не занимающим доминирующее положение на рынке, или занижение хозяйствующим субъектом, занимающим доминирующее положение на рынке регулируемых государством цен), следует учесть возможность наличия в таких действиях (бездействии) признаков нарушения ст.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Исходя из положений законодательства Российской Федерации, контроль за применением регулируемых государством цен (тарифов) организациями, осуществляющими деятельность в сфере регулируемого порядка ценообразования, в части обоснованности величины и правильности применения этих цен (тарифов) относится к полномочиям органов, осуществляющих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К ответственности за нарушения ст. 14.6 КоАП виновные лица привлекаются, в том числе органами, осуществляющими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 xml:space="preserve">Срок давности привлечения к ответственности за нарушения, предусмотренные статьей 14.6 КоАП, составляет один год </w:t>
      </w:r>
      <w:r w:rsidRPr="007721EE">
        <w:rPr>
          <w:rFonts w:ascii="Times New Roman" w:eastAsia="Calibri" w:hAnsi="Times New Roman" w:cs="Times New Roman"/>
          <w:sz w:val="28"/>
          <w:szCs w:val="28"/>
          <w:lang w:eastAsia="ru-RU"/>
        </w:rPr>
        <w:t xml:space="preserve">со дня совершения административного </w:t>
      </w:r>
      <w:r w:rsidRPr="007721EE">
        <w:rPr>
          <w:rFonts w:ascii="Times New Roman" w:eastAsia="Calibri" w:hAnsi="Times New Roman" w:cs="Times New Roman"/>
          <w:sz w:val="28"/>
          <w:szCs w:val="28"/>
        </w:rPr>
        <w:t xml:space="preserve">правонарушения. При </w:t>
      </w:r>
      <w:hyperlink r:id="rId41" w:history="1">
        <w:r w:rsidRPr="007721EE">
          <w:rPr>
            <w:rFonts w:ascii="Times New Roman" w:eastAsia="Calibri" w:hAnsi="Times New Roman" w:cs="Times New Roman"/>
            <w:sz w:val="28"/>
            <w:szCs w:val="28"/>
          </w:rPr>
          <w:t>длящемся</w:t>
        </w:r>
      </w:hyperlink>
      <w:r w:rsidRPr="007721EE">
        <w:rPr>
          <w:rFonts w:ascii="Times New Roman" w:eastAsia="Calibri" w:hAnsi="Times New Roman" w:cs="Times New Roman"/>
          <w:sz w:val="28"/>
          <w:szCs w:val="28"/>
        </w:rPr>
        <w:t xml:space="preserve"> административном правонарушении указанный срок начинает исчисляться со дня обнаружения административного правонарушения.</w:t>
      </w:r>
    </w:p>
    <w:p w:rsid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порядка ценообразования в отношении регулируемых государством цен (тарифов), не отвечающего признакам диспозиции ст. 9.21 КоАП, а также п. 10 ч. 1 ст. 10 Закона о защите конкуренции, но ответственность за которое предусмотрена статьей 14.6 КоАП, антимонопольный орган обязан немедленно направить соответствующие материалы в орган государственной власти субъекта Российской Федерации, уполномоченный на осуществление государственного регулирования цен (тарифов) или в центральный аппарат ФАС России.</w:t>
      </w:r>
    </w:p>
    <w:p w:rsidR="00DB066E" w:rsidRDefault="00DB066E" w:rsidP="007721EE">
      <w:pPr>
        <w:spacing w:after="0" w:line="240" w:lineRule="auto"/>
        <w:ind w:firstLine="709"/>
        <w:jc w:val="both"/>
        <w:rPr>
          <w:rFonts w:ascii="Times New Roman" w:eastAsia="Times New Roman" w:hAnsi="Times New Roman" w:cs="Times New Roman"/>
          <w:sz w:val="28"/>
          <w:szCs w:val="28"/>
          <w:lang w:eastAsia="ru-RU"/>
        </w:rPr>
      </w:pPr>
    </w:p>
    <w:p w:rsidR="00DB066E" w:rsidRDefault="00DB066E" w:rsidP="00DB066E">
      <w:pPr>
        <w:spacing w:after="0" w:line="240" w:lineRule="auto"/>
        <w:jc w:val="center"/>
        <w:outlineLvl w:val="0"/>
        <w:rPr>
          <w:rFonts w:ascii="Times New Roman" w:hAnsi="Times New Roman"/>
          <w:b/>
          <w:sz w:val="28"/>
          <w:szCs w:val="28"/>
        </w:rPr>
      </w:pPr>
      <w:r w:rsidRPr="00A713C4">
        <w:rPr>
          <w:rFonts w:ascii="Times New Roman" w:hAnsi="Times New Roman"/>
          <w:b/>
          <w:sz w:val="28"/>
          <w:szCs w:val="28"/>
        </w:rPr>
        <w:t>РАЗЪЯСНЕНИЕ</w:t>
      </w:r>
    </w:p>
    <w:p w:rsidR="00DB066E" w:rsidRPr="00A713C4" w:rsidRDefault="00DB066E" w:rsidP="00DB066E">
      <w:pPr>
        <w:spacing w:after="0" w:line="240" w:lineRule="auto"/>
        <w:jc w:val="center"/>
        <w:outlineLvl w:val="0"/>
        <w:rPr>
          <w:rFonts w:ascii="Times New Roman" w:eastAsia="ヒラギノ角ゴ Pro W3" w:hAnsi="Times New Roman"/>
          <w:b/>
          <w:sz w:val="28"/>
          <w:szCs w:val="28"/>
        </w:rPr>
      </w:pPr>
    </w:p>
    <w:p w:rsidR="00DB066E" w:rsidRPr="00A713C4" w:rsidRDefault="00DB066E" w:rsidP="00DB066E">
      <w:pPr>
        <w:spacing w:after="0" w:line="240" w:lineRule="auto"/>
        <w:jc w:val="center"/>
        <w:outlineLvl w:val="0"/>
        <w:rPr>
          <w:rFonts w:ascii="Times New Roman" w:hAnsi="Times New Roman"/>
          <w:b/>
          <w:sz w:val="28"/>
          <w:szCs w:val="28"/>
        </w:rPr>
      </w:pPr>
      <w:r w:rsidRPr="00A713C4">
        <w:rPr>
          <w:rFonts w:ascii="Times New Roman" w:hAnsi="Times New Roman"/>
          <w:b/>
          <w:sz w:val="28"/>
          <w:szCs w:val="28"/>
        </w:rPr>
        <w:t>Президиума Федеральной антимонопольной службы</w:t>
      </w:r>
    </w:p>
    <w:p w:rsidR="00DB066E" w:rsidRPr="00A713C4" w:rsidRDefault="00DB066E" w:rsidP="00DB066E">
      <w:pPr>
        <w:spacing w:after="0" w:line="240" w:lineRule="auto"/>
        <w:jc w:val="center"/>
        <w:outlineLvl w:val="0"/>
        <w:rPr>
          <w:rFonts w:ascii="Times New Roman" w:hAnsi="Times New Roman"/>
          <w:b/>
          <w:sz w:val="28"/>
          <w:szCs w:val="28"/>
        </w:rPr>
      </w:pPr>
      <w:r w:rsidRPr="00A713C4">
        <w:rPr>
          <w:rFonts w:ascii="Times New Roman" w:hAnsi="Times New Roman"/>
          <w:b/>
          <w:sz w:val="28"/>
          <w:szCs w:val="28"/>
        </w:rPr>
        <w:t>«По определению размера убытков, причиненных в результате нарушения антимонопольного законодательства»</w:t>
      </w:r>
    </w:p>
    <w:p w:rsidR="00DB066E" w:rsidRDefault="00DB066E" w:rsidP="00DB066E">
      <w:pPr>
        <w:spacing w:after="0" w:line="240" w:lineRule="auto"/>
        <w:jc w:val="center"/>
        <w:rPr>
          <w:rFonts w:ascii="Times New Roman" w:hAnsi="Times New Roman"/>
          <w:sz w:val="28"/>
          <w:szCs w:val="28"/>
        </w:rPr>
      </w:pPr>
    </w:p>
    <w:p w:rsidR="00DB066E" w:rsidRPr="00DB066E" w:rsidRDefault="00DB066E" w:rsidP="00DB066E">
      <w:pPr>
        <w:spacing w:after="0" w:line="240" w:lineRule="auto"/>
        <w:jc w:val="center"/>
        <w:rPr>
          <w:rFonts w:ascii="Times New Roman" w:hAnsi="Times New Roman"/>
          <w:b/>
          <w:sz w:val="28"/>
          <w:szCs w:val="28"/>
        </w:rPr>
      </w:pPr>
      <w:r w:rsidRPr="00A713C4">
        <w:rPr>
          <w:rFonts w:ascii="Times New Roman" w:hAnsi="Times New Roman"/>
          <w:b/>
          <w:sz w:val="28"/>
          <w:szCs w:val="28"/>
        </w:rPr>
        <w:t>№ 11</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lastRenderedPageBreak/>
        <w:t>Разъяснения по определению размера убытк</w:t>
      </w:r>
      <w:r>
        <w:rPr>
          <w:rFonts w:ascii="Times New Roman" w:hAnsi="Times New Roman"/>
          <w:sz w:val="28"/>
          <w:szCs w:val="28"/>
        </w:rPr>
        <w:t>ов</w:t>
      </w:r>
      <w:r w:rsidRPr="004436FA">
        <w:rPr>
          <w:rFonts w:ascii="Times New Roman" w:hAnsi="Times New Roman"/>
          <w:sz w:val="28"/>
          <w:szCs w:val="28"/>
        </w:rPr>
        <w:t>, причиненн</w:t>
      </w:r>
      <w:r>
        <w:rPr>
          <w:rFonts w:ascii="Times New Roman" w:hAnsi="Times New Roman"/>
          <w:sz w:val="28"/>
          <w:szCs w:val="28"/>
        </w:rPr>
        <w:t>ых</w:t>
      </w:r>
      <w:r w:rsidRPr="004436FA">
        <w:rPr>
          <w:rFonts w:ascii="Times New Roman" w:hAnsi="Times New Roman"/>
          <w:sz w:val="28"/>
          <w:szCs w:val="28"/>
        </w:rPr>
        <w:t xml:space="preserve"> в результате нарушения антимонопольного законодательства (далее – Разъяснения)</w:t>
      </w:r>
      <w:r>
        <w:rPr>
          <w:rFonts w:ascii="Times New Roman" w:hAnsi="Times New Roman"/>
          <w:sz w:val="28"/>
          <w:szCs w:val="28"/>
        </w:rPr>
        <w:t>,</w:t>
      </w:r>
      <w:r w:rsidRPr="004436FA">
        <w:rPr>
          <w:rFonts w:ascii="Times New Roman" w:hAnsi="Times New Roman"/>
          <w:b/>
          <w:sz w:val="28"/>
          <w:szCs w:val="28"/>
        </w:rPr>
        <w:t xml:space="preserve"> </w:t>
      </w:r>
      <w:r w:rsidRPr="004436FA">
        <w:rPr>
          <w:rFonts w:ascii="Times New Roman" w:hAnsi="Times New Roman"/>
          <w:sz w:val="28"/>
          <w:szCs w:val="28"/>
        </w:rPr>
        <w:t>даны для территориальных органов ФАС России в целях формирования позиции антимонопольного органа по вопросам, связанным с определением размера убытк</w:t>
      </w:r>
      <w:r>
        <w:rPr>
          <w:rFonts w:ascii="Times New Roman" w:hAnsi="Times New Roman"/>
          <w:sz w:val="28"/>
          <w:szCs w:val="28"/>
        </w:rPr>
        <w:t>ов</w:t>
      </w:r>
      <w:r w:rsidRPr="004436FA">
        <w:rPr>
          <w:rFonts w:ascii="Times New Roman" w:hAnsi="Times New Roman"/>
          <w:sz w:val="28"/>
          <w:szCs w:val="28"/>
        </w:rPr>
        <w:t>, причиненн</w:t>
      </w:r>
      <w:r>
        <w:rPr>
          <w:rFonts w:ascii="Times New Roman" w:hAnsi="Times New Roman"/>
          <w:sz w:val="28"/>
          <w:szCs w:val="28"/>
        </w:rPr>
        <w:t>ых</w:t>
      </w:r>
      <w:r w:rsidRPr="004436FA">
        <w:rPr>
          <w:rFonts w:ascii="Times New Roman" w:hAnsi="Times New Roman"/>
          <w:sz w:val="28"/>
          <w:szCs w:val="28"/>
        </w:rPr>
        <w:t xml:space="preserve"> в результате нарушения антимонопольного законодательства, в случае привлечения территориального органа к участию в деле, рассматриваемом в суде. </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Разъяснения могут также использоваться при рассмотрении дел о нарушении антимонопольного законодательства на предмет </w:t>
      </w:r>
      <w:r>
        <w:rPr>
          <w:rFonts w:ascii="Times New Roman" w:hAnsi="Times New Roman"/>
          <w:sz w:val="28"/>
          <w:szCs w:val="28"/>
          <w:lang w:eastAsia="en-GB"/>
        </w:rPr>
        <w:t xml:space="preserve">недопущения, ограничения, устранения конкуренции, </w:t>
      </w:r>
      <w:r>
        <w:rPr>
          <w:rFonts w:ascii="Times New Roman" w:hAnsi="Times New Roman"/>
          <w:sz w:val="28"/>
          <w:szCs w:val="28"/>
        </w:rPr>
        <w:t xml:space="preserve">установления </w:t>
      </w:r>
      <w:r>
        <w:rPr>
          <w:rFonts w:ascii="Times New Roman" w:hAnsi="Times New Roman"/>
          <w:sz w:val="28"/>
          <w:szCs w:val="28"/>
          <w:lang w:eastAsia="en-GB"/>
        </w:rPr>
        <w:t>ущемления интересов хозяйствующих субъектов в сфере предпринимательской деятельности либо неопределенного круга потребителей</w:t>
      </w:r>
      <w:r>
        <w:rPr>
          <w:rFonts w:ascii="Times New Roman" w:hAnsi="Times New Roman"/>
          <w:sz w:val="28"/>
          <w:szCs w:val="28"/>
        </w:rPr>
        <w:t xml:space="preserve"> при злоупотреблении доминирующим положением. </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Равным образом положения данных Разъяснений </w:t>
      </w:r>
      <w:r>
        <w:rPr>
          <w:rFonts w:ascii="Times New Roman" w:hAnsi="Times New Roman"/>
          <w:sz w:val="28"/>
          <w:szCs w:val="28"/>
        </w:rPr>
        <w:t xml:space="preserve">также </w:t>
      </w:r>
      <w:r w:rsidRPr="004436FA">
        <w:rPr>
          <w:rFonts w:ascii="Times New Roman" w:hAnsi="Times New Roman"/>
          <w:sz w:val="28"/>
          <w:szCs w:val="28"/>
        </w:rPr>
        <w:t>могут быть использованы территориальными органами ФАС России в целях определения размера ущерба, причиненного нарушениями антимонопольного законодательства, как обстоятельства, отягчающего в установленных законом случаях административную ответственность (статьи 14.31, 14.31.2, 14.32, 14.33 Ко</w:t>
      </w:r>
      <w:r>
        <w:rPr>
          <w:rFonts w:ascii="Times New Roman" w:hAnsi="Times New Roman"/>
          <w:sz w:val="28"/>
          <w:szCs w:val="28"/>
        </w:rPr>
        <w:t>декса Российской Федерации об административных правонарушениях (далее - Ко</w:t>
      </w:r>
      <w:r w:rsidRPr="004436FA">
        <w:rPr>
          <w:rFonts w:ascii="Times New Roman" w:hAnsi="Times New Roman"/>
          <w:sz w:val="28"/>
          <w:szCs w:val="28"/>
        </w:rPr>
        <w:t>АП РФ)</w:t>
      </w:r>
      <w:r>
        <w:rPr>
          <w:rFonts w:ascii="Times New Roman" w:hAnsi="Times New Roman"/>
          <w:sz w:val="28"/>
          <w:szCs w:val="28"/>
        </w:rPr>
        <w:t>)</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Кроме того, н</w:t>
      </w:r>
      <w:r w:rsidRPr="004436FA">
        <w:rPr>
          <w:rFonts w:ascii="Times New Roman" w:hAnsi="Times New Roman"/>
          <w:sz w:val="28"/>
          <w:szCs w:val="28"/>
        </w:rPr>
        <w:t xml:space="preserve">астоящие Разъяснения </w:t>
      </w:r>
      <w:r>
        <w:rPr>
          <w:rFonts w:ascii="Times New Roman" w:hAnsi="Times New Roman"/>
          <w:sz w:val="28"/>
          <w:szCs w:val="28"/>
        </w:rPr>
        <w:t>могут</w:t>
      </w:r>
      <w:r w:rsidRPr="004436FA">
        <w:rPr>
          <w:rFonts w:ascii="Times New Roman" w:hAnsi="Times New Roman"/>
          <w:sz w:val="28"/>
          <w:szCs w:val="28"/>
        </w:rPr>
        <w:t xml:space="preserve"> помочь пострадавшим лицам и нарушителям в определении убытков, причиненных нарушением антимонопольного законодательства, при их взыскании в судебном порядке или урегулировании претензий без судебного разбирательства.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Настоящие Разъяснения обобщают большинство существующих методик определения убытков, сформированных по итогам исследования как российской правоприменительной практики, так и зарубежного опыта.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 частности, при подготовке данного документа были использованы методики оценки убытков, включенные в </w:t>
      </w:r>
      <w:proofErr w:type="spellStart"/>
      <w:r w:rsidRPr="004436FA">
        <w:rPr>
          <w:rFonts w:ascii="Times New Roman" w:hAnsi="Times New Roman"/>
          <w:sz w:val="28"/>
          <w:szCs w:val="28"/>
        </w:rPr>
        <w:t>Practical</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guide</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Quantifying</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harm</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in</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actions</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for</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damages</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based</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on</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breaches</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of</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article</w:t>
      </w:r>
      <w:proofErr w:type="spellEnd"/>
      <w:r w:rsidRPr="004436FA">
        <w:rPr>
          <w:rFonts w:ascii="Times New Roman" w:hAnsi="Times New Roman"/>
          <w:sz w:val="28"/>
          <w:szCs w:val="28"/>
        </w:rPr>
        <w:t xml:space="preserve"> 101 </w:t>
      </w:r>
      <w:proofErr w:type="spellStart"/>
      <w:r w:rsidRPr="004436FA">
        <w:rPr>
          <w:rFonts w:ascii="Times New Roman" w:hAnsi="Times New Roman"/>
          <w:sz w:val="28"/>
          <w:szCs w:val="28"/>
        </w:rPr>
        <w:t>or</w:t>
      </w:r>
      <w:proofErr w:type="spellEnd"/>
      <w:r w:rsidRPr="004436FA">
        <w:rPr>
          <w:rFonts w:ascii="Times New Roman" w:hAnsi="Times New Roman"/>
          <w:sz w:val="28"/>
          <w:szCs w:val="28"/>
        </w:rPr>
        <w:t xml:space="preserve"> 102 </w:t>
      </w:r>
      <w:proofErr w:type="spellStart"/>
      <w:r w:rsidRPr="004436FA">
        <w:rPr>
          <w:rFonts w:ascii="Times New Roman" w:hAnsi="Times New Roman"/>
          <w:sz w:val="28"/>
          <w:szCs w:val="28"/>
        </w:rPr>
        <w:t>of</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the</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treaty</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on</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the</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functioning</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of</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the</w:t>
      </w:r>
      <w:proofErr w:type="spellEnd"/>
      <w:r w:rsidRPr="004436FA">
        <w:rPr>
          <w:rFonts w:ascii="Times New Roman" w:hAnsi="Times New Roman"/>
          <w:sz w:val="28"/>
          <w:szCs w:val="28"/>
        </w:rPr>
        <w:t xml:space="preserve"> EU»</w:t>
      </w:r>
      <w:r w:rsidRPr="004436FA">
        <w:footnoteReference w:id="18"/>
      </w:r>
      <w:r w:rsidRPr="004436FA">
        <w:rPr>
          <w:rFonts w:ascii="Times New Roman" w:hAnsi="Times New Roman"/>
          <w:sz w:val="28"/>
          <w:szCs w:val="28"/>
        </w:rPr>
        <w:t xml:space="preserve"> и нашедшие широкое практическое применение в судах стран-членов ЕС.</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Разъяснения не ограничивают перечень допустимых методов определения убытков, носят информационно-рекомендательный характер и призваны помочь сделать более доступной информацию о разновидностях у</w:t>
      </w:r>
      <w:r>
        <w:rPr>
          <w:rFonts w:ascii="Times New Roman" w:hAnsi="Times New Roman"/>
          <w:sz w:val="28"/>
          <w:szCs w:val="28"/>
        </w:rPr>
        <w:t>бытков</w:t>
      </w:r>
      <w:r w:rsidRPr="004436FA">
        <w:rPr>
          <w:rFonts w:ascii="Times New Roman" w:hAnsi="Times New Roman"/>
          <w:sz w:val="28"/>
          <w:szCs w:val="28"/>
        </w:rPr>
        <w:t>, причиняем</w:t>
      </w:r>
      <w:r>
        <w:rPr>
          <w:rFonts w:ascii="Times New Roman" w:hAnsi="Times New Roman"/>
          <w:sz w:val="28"/>
          <w:szCs w:val="28"/>
        </w:rPr>
        <w:t>ых</w:t>
      </w:r>
      <w:r w:rsidRPr="004436FA">
        <w:rPr>
          <w:rFonts w:ascii="Times New Roman" w:hAnsi="Times New Roman"/>
          <w:sz w:val="28"/>
          <w:szCs w:val="28"/>
        </w:rPr>
        <w:t xml:space="preserve"> нарушениями антимонопольного законодательства, и применимых методах оценки, расчета так</w:t>
      </w:r>
      <w:r>
        <w:rPr>
          <w:rFonts w:ascii="Times New Roman" w:hAnsi="Times New Roman"/>
          <w:sz w:val="28"/>
          <w:szCs w:val="28"/>
        </w:rPr>
        <w:t>их</w:t>
      </w:r>
      <w:r w:rsidRPr="004436FA">
        <w:rPr>
          <w:rFonts w:ascii="Times New Roman" w:hAnsi="Times New Roman"/>
          <w:sz w:val="28"/>
          <w:szCs w:val="28"/>
        </w:rPr>
        <w:t xml:space="preserve"> у</w:t>
      </w:r>
      <w:r>
        <w:rPr>
          <w:rFonts w:ascii="Times New Roman" w:hAnsi="Times New Roman"/>
          <w:sz w:val="28"/>
          <w:szCs w:val="28"/>
        </w:rPr>
        <w:t>бытков</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Любой применяемый метод, если он обоснован и разумен, может быть применен при определении размера убытков наряду с методиками, рассмотренными в настоящих Разъяснениях.</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Также важно отметить, что ни один из приведенных в настоящем документе методов расчета убытков не имеет заведомо приоритетного </w:t>
      </w:r>
      <w:r w:rsidRPr="004436FA">
        <w:rPr>
          <w:rFonts w:ascii="Times New Roman" w:hAnsi="Times New Roman"/>
          <w:sz w:val="28"/>
          <w:szCs w:val="28"/>
        </w:rPr>
        <w:lastRenderedPageBreak/>
        <w:t>статуса. Приоритетность той или иной методики в первую очередь диктуется обстоятельствами конкретного дела, количеством и характером располагаемых данных.</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Далее в тексте Разъяснений в необходимых случаях анализируются такие примеры и даются соответствующие примечания к ним. При этом соответствующие примечания направлены исключительно на анализ правоприменительной практики и не могут рассматриваться как критика судебных актов или правовых позиций уча</w:t>
      </w:r>
      <w:r>
        <w:rPr>
          <w:rFonts w:ascii="Times New Roman" w:hAnsi="Times New Roman"/>
          <w:sz w:val="28"/>
          <w:szCs w:val="28"/>
        </w:rPr>
        <w:t>стников соответствующих споров.</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Default="00DB066E" w:rsidP="00DB066E">
      <w:pPr>
        <w:pStyle w:val="1"/>
        <w:numPr>
          <w:ilvl w:val="0"/>
          <w:numId w:val="47"/>
        </w:numPr>
        <w:spacing w:before="0" w:line="240" w:lineRule="auto"/>
        <w:ind w:left="0"/>
        <w:jc w:val="center"/>
        <w:rPr>
          <w:rFonts w:ascii="Times New Roman" w:hAnsi="Times New Roman"/>
          <w:color w:val="auto"/>
        </w:rPr>
      </w:pPr>
      <w:bookmarkStart w:id="10" w:name="_Toc487536216"/>
      <w:bookmarkStart w:id="11" w:name="_Toc487536218"/>
      <w:r w:rsidRPr="004436FA">
        <w:rPr>
          <w:rFonts w:ascii="Times New Roman" w:hAnsi="Times New Roman"/>
          <w:color w:val="auto"/>
        </w:rPr>
        <w:t>Общие положения.</w:t>
      </w:r>
      <w:bookmarkEnd w:id="10"/>
    </w:p>
    <w:p w:rsidR="00DB066E" w:rsidRPr="005579E6" w:rsidRDefault="00DB066E" w:rsidP="00DB066E">
      <w:pPr>
        <w:spacing w:after="0" w:line="240" w:lineRule="auto"/>
      </w:pPr>
    </w:p>
    <w:p w:rsidR="00DB066E" w:rsidRDefault="00DB066E" w:rsidP="00DB066E">
      <w:pPr>
        <w:autoSpaceDE w:val="0"/>
        <w:autoSpaceDN w:val="0"/>
        <w:adjustRightInd w:val="0"/>
        <w:spacing w:after="0" w:line="240" w:lineRule="auto"/>
        <w:ind w:firstLine="709"/>
        <w:jc w:val="both"/>
        <w:rPr>
          <w:rFonts w:ascii="Times New Roman" w:hAnsi="Times New Roman"/>
          <w:b/>
          <w:sz w:val="28"/>
          <w:szCs w:val="28"/>
        </w:rPr>
      </w:pPr>
      <w:r w:rsidRPr="001A2731">
        <w:rPr>
          <w:rFonts w:ascii="Times New Roman" w:hAnsi="Times New Roman"/>
          <w:b/>
          <w:sz w:val="28"/>
          <w:szCs w:val="28"/>
        </w:rPr>
        <w:t>1</w:t>
      </w:r>
      <w:r>
        <w:rPr>
          <w:rFonts w:ascii="Times New Roman" w:hAnsi="Times New Roman"/>
          <w:b/>
          <w:sz w:val="28"/>
          <w:szCs w:val="28"/>
        </w:rPr>
        <w:t>.1. </w:t>
      </w:r>
      <w:r w:rsidRPr="004436FA">
        <w:rPr>
          <w:rFonts w:ascii="Times New Roman" w:hAnsi="Times New Roman"/>
          <w:b/>
          <w:sz w:val="28"/>
          <w:szCs w:val="28"/>
        </w:rPr>
        <w:t>Возмещение убытков как способ защиты прав и законных интересов лица, пострадавшего от нарушения антимонопольного законодательства.</w:t>
      </w:r>
      <w:bookmarkEnd w:id="11"/>
    </w:p>
    <w:p w:rsidR="00DB066E" w:rsidRPr="004436FA" w:rsidRDefault="00DB066E" w:rsidP="00DB066E">
      <w:pPr>
        <w:autoSpaceDE w:val="0"/>
        <w:autoSpaceDN w:val="0"/>
        <w:adjustRightInd w:val="0"/>
        <w:spacing w:after="0" w:line="240" w:lineRule="auto"/>
        <w:ind w:firstLine="709"/>
        <w:jc w:val="both"/>
        <w:rPr>
          <w:rFonts w:ascii="Times New Roman" w:hAnsi="Times New Roman"/>
          <w:b/>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Нарушение антимонопольного законодательства одними лицами может повлечь негативные последствия для других лиц.</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Если злоупотребление доминирующим положением, недобросовестная конкуренция, картель или иные нарушения антимонопольного законодательства причинили кому-либо убытки, пострадавшее лицо (лица) вправе обратиться в суд с иском об их взыскании.</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Вместе с тем на практике инициирование и рассмотрение подобных дел сопряжено с рядом существенных трудностей, основная из которых – сложность определения размера причиненных убытков.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Защита прав лиц, пострадавших вследствие нарушения антимонопольного законодательства</w:t>
      </w:r>
      <w:r>
        <w:rPr>
          <w:rFonts w:ascii="Times New Roman" w:hAnsi="Times New Roman"/>
          <w:sz w:val="28"/>
          <w:szCs w:val="28"/>
        </w:rPr>
        <w:t>,</w:t>
      </w:r>
      <w:r w:rsidRPr="004436FA">
        <w:rPr>
          <w:rFonts w:ascii="Times New Roman" w:hAnsi="Times New Roman"/>
          <w:sz w:val="28"/>
          <w:szCs w:val="28"/>
        </w:rPr>
        <w:t xml:space="preserve"> осуществляется по общим правилам гражданского права. Следовательно, пострадавшее лицо вправе использовать любые способы защиты своих имущественных прав, которые предусмотрены статьей 12 </w:t>
      </w:r>
      <w:r>
        <w:rPr>
          <w:rFonts w:ascii="Times New Roman" w:hAnsi="Times New Roman"/>
          <w:sz w:val="28"/>
          <w:szCs w:val="28"/>
        </w:rPr>
        <w:t xml:space="preserve">Гражданского кодекса Российской Федерации (далее - </w:t>
      </w:r>
      <w:r w:rsidRPr="004436FA">
        <w:rPr>
          <w:rFonts w:ascii="Times New Roman" w:hAnsi="Times New Roman"/>
          <w:sz w:val="28"/>
          <w:szCs w:val="28"/>
        </w:rPr>
        <w:t>ГК РФ</w:t>
      </w:r>
      <w:r>
        <w:rPr>
          <w:rFonts w:ascii="Times New Roman" w:hAnsi="Times New Roman"/>
          <w:sz w:val="28"/>
          <w:szCs w:val="28"/>
        </w:rPr>
        <w:t>).</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w:t>
      </w:r>
      <w:r w:rsidRPr="004436FA">
        <w:rPr>
          <w:rFonts w:ascii="Times New Roman" w:hAnsi="Times New Roman"/>
          <w:sz w:val="28"/>
          <w:szCs w:val="28"/>
        </w:rPr>
        <w:t>ражданское законодательство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в большинстве случае</w:t>
      </w:r>
      <w:r>
        <w:rPr>
          <w:rFonts w:ascii="Times New Roman" w:hAnsi="Times New Roman"/>
          <w:sz w:val="28"/>
          <w:szCs w:val="28"/>
        </w:rPr>
        <w:t>в</w:t>
      </w:r>
      <w:r w:rsidRPr="004436FA">
        <w:rPr>
          <w:rFonts w:ascii="Times New Roman" w:hAnsi="Times New Roman"/>
          <w:sz w:val="28"/>
          <w:szCs w:val="28"/>
        </w:rPr>
        <w:t xml:space="preserve"> позволяет найти эффективное средство защиты.</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одним из основных способов защиты является взыскание убытков пострадавшего от нарушения антимонопольного законодательства лица.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Иск о возмещении убытков, причиненных совершением антиконкурентного дейс</w:t>
      </w:r>
      <w:r>
        <w:rPr>
          <w:rFonts w:ascii="Times New Roman" w:hAnsi="Times New Roman"/>
          <w:sz w:val="28"/>
          <w:szCs w:val="28"/>
        </w:rPr>
        <w:t xml:space="preserve">твия (бездействия), заключением </w:t>
      </w:r>
      <w:r w:rsidRPr="004436FA">
        <w:rPr>
          <w:rFonts w:ascii="Times New Roman" w:hAnsi="Times New Roman"/>
          <w:sz w:val="28"/>
          <w:szCs w:val="28"/>
        </w:rPr>
        <w:t xml:space="preserve">нарушающего законодательство </w:t>
      </w:r>
      <w:r>
        <w:rPr>
          <w:rFonts w:ascii="Times New Roman" w:hAnsi="Times New Roman"/>
          <w:sz w:val="28"/>
          <w:szCs w:val="28"/>
        </w:rPr>
        <w:t xml:space="preserve">о защите конкуренции </w:t>
      </w:r>
      <w:r w:rsidRPr="004436FA">
        <w:rPr>
          <w:rFonts w:ascii="Times New Roman" w:hAnsi="Times New Roman"/>
          <w:sz w:val="28"/>
          <w:szCs w:val="28"/>
        </w:rPr>
        <w:t>соглашения</w:t>
      </w:r>
      <w:r>
        <w:rPr>
          <w:rFonts w:ascii="Times New Roman" w:hAnsi="Times New Roman"/>
          <w:sz w:val="28"/>
          <w:szCs w:val="28"/>
        </w:rPr>
        <w:t xml:space="preserve"> </w:t>
      </w:r>
      <w:r w:rsidRPr="004436FA">
        <w:rPr>
          <w:rFonts w:ascii="Times New Roman" w:hAnsi="Times New Roman"/>
          <w:sz w:val="28"/>
          <w:szCs w:val="28"/>
        </w:rPr>
        <w:t>или участием в нем, принятием антиконкурентного акта органа власти</w:t>
      </w:r>
      <w:r>
        <w:rPr>
          <w:rFonts w:ascii="Times New Roman" w:hAnsi="Times New Roman"/>
          <w:sz w:val="28"/>
          <w:szCs w:val="28"/>
        </w:rPr>
        <w:t>,</w:t>
      </w:r>
      <w:r w:rsidRPr="004436FA">
        <w:rPr>
          <w:rFonts w:ascii="Times New Roman" w:hAnsi="Times New Roman"/>
          <w:sz w:val="28"/>
          <w:szCs w:val="28"/>
        </w:rPr>
        <w:t xml:space="preserve"> может предъявить любое лицо, которое полагает, что ему в результате соответствующих действий (бездействия), соглашений, актов были причинены убытки.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На это указывают также специальные нормы антимонопольного законодательства: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w:t>
      </w:r>
      <w:r w:rsidRPr="004436FA">
        <w:rPr>
          <w:rFonts w:ascii="Times New Roman" w:hAnsi="Times New Roman"/>
          <w:sz w:val="28"/>
          <w:szCs w:val="28"/>
        </w:rPr>
        <w:lastRenderedPageBreak/>
        <w:t>исками о восстановлении нарушенных прав, возмещении убытков, включая упущенную выгоду, возмещении вреда, причиненного имуществу (часть 3 стат</w:t>
      </w:r>
      <w:r>
        <w:rPr>
          <w:rFonts w:ascii="Times New Roman" w:hAnsi="Times New Roman"/>
          <w:sz w:val="28"/>
          <w:szCs w:val="28"/>
        </w:rPr>
        <w:t>ьи 37 Федерального закона от 26.07.2006</w:t>
      </w:r>
      <w:r w:rsidRPr="004436FA">
        <w:rPr>
          <w:rFonts w:ascii="Times New Roman" w:hAnsi="Times New Roman"/>
          <w:sz w:val="28"/>
          <w:szCs w:val="28"/>
        </w:rPr>
        <w:t xml:space="preserve"> №</w:t>
      </w:r>
      <w:r>
        <w:rPr>
          <w:rFonts w:ascii="Times New Roman" w:hAnsi="Times New Roman"/>
          <w:sz w:val="28"/>
          <w:szCs w:val="28"/>
        </w:rPr>
        <w:t xml:space="preserve"> 135-ФЗ «О защите конкуренции» (далее – </w:t>
      </w:r>
      <w:r w:rsidRPr="004436FA">
        <w:rPr>
          <w:rFonts w:ascii="Times New Roman" w:hAnsi="Times New Roman"/>
          <w:sz w:val="28"/>
          <w:szCs w:val="28"/>
        </w:rPr>
        <w:t xml:space="preserve">Закон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(пункт 2 статьи 15 ГК РФ).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B064CF" w:rsidRDefault="00DB066E" w:rsidP="00DB066E">
      <w:pPr>
        <w:pStyle w:val="ae"/>
        <w:autoSpaceDE w:val="0"/>
        <w:autoSpaceDN w:val="0"/>
        <w:adjustRightInd w:val="0"/>
        <w:spacing w:after="0" w:line="240" w:lineRule="auto"/>
        <w:ind w:left="0"/>
        <w:jc w:val="both"/>
        <w:rPr>
          <w:rFonts w:ascii="Times New Roman" w:hAnsi="Times New Roman"/>
          <w:b/>
          <w:sz w:val="28"/>
          <w:szCs w:val="28"/>
        </w:rPr>
      </w:pPr>
      <w:r>
        <w:rPr>
          <w:rFonts w:ascii="Times New Roman" w:hAnsi="Times New Roman"/>
          <w:b/>
          <w:sz w:val="28"/>
          <w:szCs w:val="28"/>
        </w:rPr>
        <w:t>1.2. </w:t>
      </w:r>
      <w:r w:rsidRPr="00B064CF">
        <w:rPr>
          <w:rFonts w:ascii="Times New Roman" w:hAnsi="Times New Roman"/>
          <w:b/>
          <w:sz w:val="28"/>
          <w:szCs w:val="28"/>
        </w:rPr>
        <w:t>Предмет доказывания по искам о взыскании убытков</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 соответствии с пунктом 12 </w:t>
      </w:r>
      <w:r>
        <w:rPr>
          <w:rFonts w:ascii="Times New Roman" w:hAnsi="Times New Roman"/>
          <w:sz w:val="28"/>
          <w:szCs w:val="28"/>
        </w:rPr>
        <w:t>п</w:t>
      </w:r>
      <w:r w:rsidRPr="004436FA">
        <w:rPr>
          <w:rFonts w:ascii="Times New Roman" w:hAnsi="Times New Roman"/>
          <w:sz w:val="28"/>
          <w:szCs w:val="28"/>
        </w:rPr>
        <w:t xml:space="preserve">остановления Пленума Верховного Суда </w:t>
      </w:r>
      <w:r>
        <w:rPr>
          <w:rFonts w:ascii="Times New Roman" w:hAnsi="Times New Roman"/>
          <w:sz w:val="28"/>
          <w:szCs w:val="28"/>
        </w:rPr>
        <w:t xml:space="preserve">Российской Федерации (далее – ВС </w:t>
      </w:r>
      <w:r w:rsidRPr="004436FA">
        <w:rPr>
          <w:rFonts w:ascii="Times New Roman" w:hAnsi="Times New Roman"/>
          <w:sz w:val="28"/>
          <w:szCs w:val="28"/>
        </w:rPr>
        <w:t>РФ</w:t>
      </w:r>
      <w:r>
        <w:rPr>
          <w:rFonts w:ascii="Times New Roman" w:hAnsi="Times New Roman"/>
          <w:sz w:val="28"/>
          <w:szCs w:val="28"/>
        </w:rPr>
        <w:t>) от 23.06.</w:t>
      </w:r>
      <w:r w:rsidRPr="004436FA">
        <w:rPr>
          <w:rFonts w:ascii="Times New Roman" w:hAnsi="Times New Roman"/>
          <w:sz w:val="28"/>
          <w:szCs w:val="28"/>
        </w:rPr>
        <w:t>2015 № 25 «О применении судами некоторых положений раздела I части первой Гражданского кодекса Российской Федера</w:t>
      </w:r>
      <w:r>
        <w:rPr>
          <w:rFonts w:ascii="Times New Roman" w:hAnsi="Times New Roman"/>
          <w:sz w:val="28"/>
          <w:szCs w:val="28"/>
        </w:rPr>
        <w:t>ции» (далее – п</w:t>
      </w:r>
      <w:r w:rsidRPr="004436FA">
        <w:rPr>
          <w:rFonts w:ascii="Times New Roman" w:hAnsi="Times New Roman"/>
          <w:sz w:val="28"/>
          <w:szCs w:val="28"/>
        </w:rPr>
        <w:t xml:space="preserve">остановление Пленума Верховного </w:t>
      </w:r>
      <w:r>
        <w:rPr>
          <w:rFonts w:ascii="Times New Roman" w:hAnsi="Times New Roman"/>
          <w:sz w:val="28"/>
          <w:szCs w:val="28"/>
        </w:rPr>
        <w:t>Суда РФ от 23.06.2015 № 25</w:t>
      </w:r>
      <w:r w:rsidRPr="004436FA">
        <w:rPr>
          <w:rFonts w:ascii="Times New Roman" w:hAnsi="Times New Roman"/>
          <w:sz w:val="28"/>
          <w:szCs w:val="28"/>
        </w:rPr>
        <w:t>) по делам о возмещении убытков истец обязан доказать, что ответчик является лицом, в результате действий (бездействия) которого возник ущерб, а также факты нарушения обязательства или причинения вреда, наличие убытков (</w:t>
      </w:r>
      <w:hyperlink r:id="rId42" w:history="1">
        <w:r w:rsidRPr="004436FA">
          <w:rPr>
            <w:rFonts w:ascii="Times New Roman" w:hAnsi="Times New Roman"/>
            <w:sz w:val="28"/>
            <w:szCs w:val="28"/>
          </w:rPr>
          <w:t>пункт 2 статьи 15</w:t>
        </w:r>
      </w:hyperlink>
      <w:r w:rsidRPr="004436FA">
        <w:rPr>
          <w:rFonts w:ascii="Times New Roman" w:hAnsi="Times New Roman"/>
          <w:sz w:val="28"/>
          <w:szCs w:val="28"/>
        </w:rPr>
        <w:t xml:space="preserve"> ГК РФ).</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Отсутствие вины доказывается лицом, нарушившим обязательство (</w:t>
      </w:r>
      <w:hyperlink r:id="rId43" w:history="1">
        <w:r w:rsidRPr="004436FA">
          <w:rPr>
            <w:rFonts w:ascii="Times New Roman" w:hAnsi="Times New Roman"/>
            <w:sz w:val="28"/>
            <w:szCs w:val="28"/>
          </w:rPr>
          <w:t>пункт 2 статьи 401</w:t>
        </w:r>
      </w:hyperlink>
      <w:r w:rsidRPr="004436FA">
        <w:rPr>
          <w:rFonts w:ascii="Times New Roman" w:hAnsi="Times New Roman"/>
          <w:sz w:val="28"/>
          <w:szCs w:val="28"/>
        </w:rPr>
        <w:t xml:space="preserve"> ГК РФ). По общему правилу</w:t>
      </w:r>
      <w:r>
        <w:rPr>
          <w:rFonts w:ascii="Times New Roman" w:hAnsi="Times New Roman"/>
          <w:sz w:val="28"/>
          <w:szCs w:val="28"/>
        </w:rPr>
        <w:t>,</w:t>
      </w:r>
      <w:r w:rsidRPr="004436FA">
        <w:rPr>
          <w:rFonts w:ascii="Times New Roman" w:hAnsi="Times New Roman"/>
          <w:sz w:val="28"/>
          <w:szCs w:val="28"/>
        </w:rPr>
        <w:t xml:space="preserve"> лицо, причинившее вред, освобождается от возмещения вреда, если докажет, что вред причинен не по его вине (</w:t>
      </w:r>
      <w:hyperlink r:id="rId44" w:history="1">
        <w:r w:rsidRPr="004436FA">
          <w:rPr>
            <w:rFonts w:ascii="Times New Roman" w:hAnsi="Times New Roman"/>
            <w:sz w:val="28"/>
            <w:szCs w:val="28"/>
          </w:rPr>
          <w:t>пункт 2 статьи 1064</w:t>
        </w:r>
      </w:hyperlink>
      <w:r w:rsidRPr="004436FA">
        <w:rPr>
          <w:rFonts w:ascii="Times New Roman" w:hAnsi="Times New Roman"/>
          <w:sz w:val="28"/>
          <w:szCs w:val="28"/>
        </w:rPr>
        <w:t xml:space="preserve"> ГК РФ).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Таким образом, вина в нарушении обязательства или в причинении вреда предполагается, пока не доказано обратное.</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 учетом изложенных</w:t>
      </w:r>
      <w:r w:rsidRPr="004436FA">
        <w:rPr>
          <w:rFonts w:ascii="Times New Roman" w:hAnsi="Times New Roman"/>
          <w:sz w:val="28"/>
          <w:szCs w:val="28"/>
        </w:rPr>
        <w:t xml:space="preserve"> требований статьи 15 ГК РФ и с учетом особенностей дел о взыскании убытков, причиненных нарушением антимонопольного законодательства, предмет доказывания включает для истца следующие факты:</w:t>
      </w:r>
    </w:p>
    <w:p w:rsidR="00DB066E" w:rsidRPr="004436FA" w:rsidRDefault="00DB066E" w:rsidP="00DB066E">
      <w:pPr>
        <w:pStyle w:val="ae"/>
        <w:numPr>
          <w:ilvl w:val="0"/>
          <w:numId w:val="39"/>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совершение конкретным лицом (лицами) противоречащего антимонопольному законодательству действия или бездействия, соглашения, акта;</w:t>
      </w:r>
    </w:p>
    <w:p w:rsidR="00DB066E" w:rsidRPr="004436FA" w:rsidRDefault="00DB066E" w:rsidP="00DB066E">
      <w:pPr>
        <w:pStyle w:val="ae"/>
        <w:numPr>
          <w:ilvl w:val="0"/>
          <w:numId w:val="39"/>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наличие у истца убытков и их размер;</w:t>
      </w:r>
    </w:p>
    <w:p w:rsidR="00DB066E" w:rsidRPr="004436FA" w:rsidRDefault="00DB066E" w:rsidP="00DB066E">
      <w:pPr>
        <w:pStyle w:val="ae"/>
        <w:numPr>
          <w:ilvl w:val="0"/>
          <w:numId w:val="39"/>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причинно-следственная связь между нарушением права истца (противоправным поведением) и его убытками.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w:t>
      </w:r>
      <w:r w:rsidRPr="004436FA">
        <w:rPr>
          <w:rFonts w:ascii="Times New Roman" w:hAnsi="Times New Roman"/>
          <w:sz w:val="28"/>
          <w:szCs w:val="28"/>
        </w:rPr>
        <w:t>. Постановление Арбитражного суда Уральского округа от 23</w:t>
      </w:r>
      <w:r>
        <w:rPr>
          <w:rFonts w:ascii="Times New Roman" w:hAnsi="Times New Roman"/>
          <w:sz w:val="28"/>
          <w:szCs w:val="28"/>
        </w:rPr>
        <w:t>.10.</w:t>
      </w:r>
      <w:r w:rsidRPr="004436FA">
        <w:rPr>
          <w:rFonts w:ascii="Times New Roman" w:hAnsi="Times New Roman"/>
          <w:sz w:val="28"/>
          <w:szCs w:val="28"/>
        </w:rPr>
        <w:t>2015 по делу № А50-24853/2014 о взыскании убытков от технологически необоснованного отказа в продлении срока действия технических условий и навязывания невыгодных условий договора: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Признавая обоснованным отказ в иске, суд указал, что для возникновения права на возмещение убытков истец обязан доказать совокупность таких обстоятельств, как факт причинения убытков и его </w:t>
      </w:r>
      <w:r w:rsidRPr="004436FA">
        <w:rPr>
          <w:rFonts w:ascii="Times New Roman" w:hAnsi="Times New Roman"/>
          <w:sz w:val="28"/>
          <w:szCs w:val="28"/>
        </w:rPr>
        <w:lastRenderedPageBreak/>
        <w:t xml:space="preserve">размер; противоправность поведения </w:t>
      </w:r>
      <w:proofErr w:type="spellStart"/>
      <w:r w:rsidRPr="004436FA">
        <w:rPr>
          <w:rFonts w:ascii="Times New Roman" w:hAnsi="Times New Roman"/>
          <w:sz w:val="28"/>
          <w:szCs w:val="28"/>
        </w:rPr>
        <w:t>причинителя</w:t>
      </w:r>
      <w:proofErr w:type="spellEnd"/>
      <w:r w:rsidRPr="004436FA">
        <w:rPr>
          <w:rFonts w:ascii="Times New Roman" w:hAnsi="Times New Roman"/>
          <w:sz w:val="28"/>
          <w:szCs w:val="28"/>
        </w:rPr>
        <w:t xml:space="preserve"> вреда; наличие причинно-следственной связи между наступлением вреда и противоправным поведением </w:t>
      </w:r>
      <w:proofErr w:type="spellStart"/>
      <w:r w:rsidRPr="004436FA">
        <w:rPr>
          <w:rFonts w:ascii="Times New Roman" w:hAnsi="Times New Roman"/>
          <w:sz w:val="28"/>
          <w:szCs w:val="28"/>
        </w:rPr>
        <w:t>причинителя</w:t>
      </w:r>
      <w:proofErr w:type="spellEnd"/>
      <w:r w:rsidRPr="004436FA">
        <w:rPr>
          <w:rFonts w:ascii="Times New Roman" w:hAnsi="Times New Roman"/>
          <w:sz w:val="28"/>
          <w:szCs w:val="28"/>
        </w:rPr>
        <w:t xml:space="preserve"> вреда. В данном конкретном деле эта совокупность обстоятельств не была, по мнению судов, доказана истцом.</w:t>
      </w:r>
    </w:p>
    <w:p w:rsidR="00DB066E" w:rsidRPr="00B064CF" w:rsidRDefault="00DB066E" w:rsidP="00DB066E">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1.2.1. </w:t>
      </w:r>
      <w:r w:rsidRPr="00B064CF">
        <w:rPr>
          <w:rFonts w:ascii="Times New Roman" w:hAnsi="Times New Roman"/>
          <w:b/>
          <w:sz w:val="28"/>
          <w:szCs w:val="28"/>
        </w:rPr>
        <w:t xml:space="preserve">Противоречащее антимонопольному законодательству действие или бездействие, соглашение, акт ответчика. Значение решения антимонопольного органа по делу о нарушении антимонопольного законодательства.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Потерпевший должен доказать, что нарушитель совершил определенное </w:t>
      </w:r>
      <w:proofErr w:type="spellStart"/>
      <w:r w:rsidRPr="004436FA">
        <w:rPr>
          <w:rFonts w:ascii="Times New Roman" w:hAnsi="Times New Roman"/>
          <w:sz w:val="28"/>
          <w:szCs w:val="28"/>
        </w:rPr>
        <w:t>антиконкурентное</w:t>
      </w:r>
      <w:proofErr w:type="spellEnd"/>
      <w:r w:rsidRPr="004436FA">
        <w:rPr>
          <w:rFonts w:ascii="Times New Roman" w:hAnsi="Times New Roman"/>
          <w:sz w:val="28"/>
          <w:szCs w:val="28"/>
        </w:rPr>
        <w:t xml:space="preserve"> действие или не совершил требуемое от него в соответствии с антимонопольным законодательством действие (допустил бездействие), заключил соглашение или принял акт, противоречащие законодательству</w:t>
      </w:r>
      <w:r>
        <w:rPr>
          <w:rFonts w:ascii="Times New Roman" w:hAnsi="Times New Roman"/>
          <w:sz w:val="28"/>
          <w:szCs w:val="28"/>
        </w:rPr>
        <w:t xml:space="preserve"> о защите конкуренции</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Наличие решения антимонопольного органа, подтверждающего нарушение антимонопольного законодательства, не является обязательным требованием для удовлетворения иска о взыскании убытков. Однако анализ правоприменительной практики показывает, что практически во всех случаях иски о взыскании убытков (а также о взыскании неосновательного обогащения) инициируются после вынесения антимонопольным органом решения о нарушении антимонопольного законодательства.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Безусловно, такой подход усиливает правовую позицию истца, так как факт нарушения антимонопольного законодательства будет подтвержден решением компетентного органа.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Решения по делам о нарушении антимонопольного законодательства, а также иные документы, содержащие письменные позиции антимонопольных органов, принимаются судами в качестве важного доказательства по делам о взыскании убытков. </w:t>
      </w:r>
    </w:p>
    <w:p w:rsidR="00DB066E" w:rsidRPr="00B064CF"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 случае, если в ранее рассмотренном арбитражным судом деле уже была подтверждена законность решения антимонопольного органа, суды также применяют пункт 2 статьи 69 </w:t>
      </w:r>
      <w:r>
        <w:rPr>
          <w:rFonts w:ascii="Times New Roman" w:hAnsi="Times New Roman"/>
          <w:sz w:val="28"/>
          <w:szCs w:val="28"/>
        </w:rPr>
        <w:t xml:space="preserve">Арбитражного процессуального кодекса Российской Федерации (далее - </w:t>
      </w:r>
      <w:r w:rsidRPr="004436FA">
        <w:rPr>
          <w:rFonts w:ascii="Times New Roman" w:hAnsi="Times New Roman"/>
          <w:sz w:val="28"/>
          <w:szCs w:val="28"/>
        </w:rPr>
        <w:t>АПК РФ</w:t>
      </w:r>
      <w:r>
        <w:rPr>
          <w:rFonts w:ascii="Times New Roman" w:hAnsi="Times New Roman"/>
          <w:sz w:val="28"/>
          <w:szCs w:val="28"/>
        </w:rPr>
        <w:t>)</w:t>
      </w:r>
      <w:r w:rsidRPr="004436FA">
        <w:rPr>
          <w:rFonts w:ascii="Times New Roman" w:hAnsi="Times New Roman"/>
          <w:sz w:val="28"/>
          <w:szCs w:val="28"/>
        </w:rPr>
        <w:t xml:space="preserve"> и считают факт нарушения антимонопольного законодательства преюдициально установленным обстоятельством, если в деле участвуют те же лица</w:t>
      </w:r>
      <w:r>
        <w:rPr>
          <w:rFonts w:ascii="Times New Roman" w:hAnsi="Times New Roman"/>
          <w:sz w:val="28"/>
          <w:szCs w:val="28"/>
        </w:rPr>
        <w:t>.</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1.</w:t>
      </w:r>
      <w:r>
        <w:rPr>
          <w:rFonts w:ascii="Times New Roman" w:hAnsi="Times New Roman"/>
          <w:sz w:val="28"/>
          <w:szCs w:val="28"/>
        </w:rPr>
        <w:t xml:space="preserve"> Решение Арбитражного суда г. Москвы от 19.02.</w:t>
      </w:r>
      <w:r w:rsidRPr="004436FA">
        <w:rPr>
          <w:rFonts w:ascii="Times New Roman" w:hAnsi="Times New Roman"/>
          <w:sz w:val="28"/>
          <w:szCs w:val="28"/>
        </w:rPr>
        <w:t>2013, постановление Федерального арбитражн</w:t>
      </w:r>
      <w:r>
        <w:rPr>
          <w:rFonts w:ascii="Times New Roman" w:hAnsi="Times New Roman"/>
          <w:sz w:val="28"/>
          <w:szCs w:val="28"/>
        </w:rPr>
        <w:t>ого суда Московского округа от 04.09.2013</w:t>
      </w:r>
      <w:r w:rsidRPr="004436FA">
        <w:rPr>
          <w:rFonts w:ascii="Times New Roman" w:hAnsi="Times New Roman"/>
          <w:sz w:val="28"/>
          <w:szCs w:val="28"/>
        </w:rPr>
        <w:t xml:space="preserve"> по делу № А40-135137/2012 о взыскании убытков, причиненных нарушением пунктов 3, 10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незаконным требованием об уплате при заключении договора 10 000 000 руб. и неправомер</w:t>
      </w:r>
      <w:r>
        <w:rPr>
          <w:rFonts w:ascii="Times New Roman" w:hAnsi="Times New Roman"/>
          <w:sz w:val="28"/>
          <w:szCs w:val="28"/>
        </w:rPr>
        <w:t>ным прекращением теплоснабжения.</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При рассмотрении дела суды указали, что факт нарушения антимонопольного законодательства (противоправность действий) ответчиком установлен решением антимонопольного органа. При этом вступившими в законную силу судебными актами по делу № А40-103582/11 решение антимонопольного органа признано законным и обоснованным.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lastRenderedPageBreak/>
        <w:t>Руководствуясь данным обстоятельством и пунктом 2 статьи 69 АПК РФ, суды освободили истца от необходимости дополнительного доказывания н</w:t>
      </w:r>
      <w:r>
        <w:rPr>
          <w:rFonts w:ascii="Times New Roman" w:hAnsi="Times New Roman"/>
          <w:sz w:val="28"/>
          <w:szCs w:val="28"/>
        </w:rPr>
        <w:t>езаконности действий ответчика.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2.</w:t>
      </w:r>
      <w:r w:rsidRPr="004436FA">
        <w:rPr>
          <w:rFonts w:ascii="Times New Roman" w:hAnsi="Times New Roman"/>
          <w:sz w:val="28"/>
          <w:szCs w:val="28"/>
        </w:rPr>
        <w:t xml:space="preserve">  Решение Арбитражного суда г</w:t>
      </w:r>
      <w:r>
        <w:rPr>
          <w:rFonts w:ascii="Times New Roman" w:hAnsi="Times New Roman"/>
          <w:sz w:val="28"/>
          <w:szCs w:val="28"/>
        </w:rPr>
        <w:t>. Москвы от 12.07.</w:t>
      </w:r>
      <w:r w:rsidRPr="004436FA">
        <w:rPr>
          <w:rFonts w:ascii="Times New Roman" w:hAnsi="Times New Roman"/>
          <w:sz w:val="28"/>
          <w:szCs w:val="28"/>
        </w:rPr>
        <w:t>2010 по делу № А40-46424/10-59-378 о взыскании убытков (1 141 085 606,15 руб.), причиненных нарушением пункта 6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качестве доказательства злоупотребления ответчиком доминирующим положением в форме необоснованного установления для истца иной по сравнению с другими потребителями (завышенной) цены на товар суд принял письменны</w:t>
      </w:r>
      <w:r>
        <w:rPr>
          <w:rFonts w:ascii="Times New Roman" w:hAnsi="Times New Roman"/>
          <w:sz w:val="28"/>
          <w:szCs w:val="28"/>
        </w:rPr>
        <w:t>е рекомендации ФАС России от 22.11.</w:t>
      </w:r>
      <w:r w:rsidRPr="004436FA">
        <w:rPr>
          <w:rFonts w:ascii="Times New Roman" w:hAnsi="Times New Roman"/>
          <w:sz w:val="28"/>
          <w:szCs w:val="28"/>
        </w:rPr>
        <w:t>2007</w:t>
      </w:r>
      <w:r>
        <w:rPr>
          <w:rFonts w:ascii="Times New Roman" w:hAnsi="Times New Roman"/>
          <w:sz w:val="28"/>
          <w:szCs w:val="28"/>
        </w:rPr>
        <w:t xml:space="preserve"> </w:t>
      </w:r>
      <w:r w:rsidRPr="004436FA">
        <w:rPr>
          <w:rFonts w:ascii="Times New Roman" w:hAnsi="Times New Roman"/>
          <w:sz w:val="28"/>
          <w:szCs w:val="28"/>
        </w:rPr>
        <w:t>№ ИА/22458 о ценообразовании в отношении данного товара и отзыв ФАС России по судебному делу, в котором выражалась позиция антимонопольного органа о величине экономически обоснованной цены на данный товар.</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Сложность многих антимонопольных дел, специфика ряда товарных рынков, ограниченность необходимой информации нередко позволяют установить факт нарушения законодательства</w:t>
      </w:r>
      <w:r>
        <w:rPr>
          <w:rFonts w:ascii="Times New Roman" w:hAnsi="Times New Roman"/>
          <w:sz w:val="28"/>
          <w:szCs w:val="28"/>
        </w:rPr>
        <w:t xml:space="preserve"> о защите конкуренции</w:t>
      </w:r>
      <w:r w:rsidRPr="004436FA">
        <w:rPr>
          <w:rFonts w:ascii="Times New Roman" w:hAnsi="Times New Roman"/>
          <w:sz w:val="28"/>
          <w:szCs w:val="28"/>
        </w:rPr>
        <w:t xml:space="preserve"> и прав и законных интересов конкретных лиц лишь после длительного антимонопольного расследования.</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в ходе рассмотрения дела о нарушении антимонопольного законодательства может быть установлено и отсутствие в действиях (бездействии) ответчика по антимонопольному делу нарушений антимонопольного законодательства, неблагоприятных последствий в виде 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 что избавит стороны от дальнейших судебных разбирательств.</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связи с этим во многих случаях предварительное обращение с заявлением о нарушении законодательства в антимонопольный орган становится предпочтительным шагом для потенциальных истцов по делам о взыскании убытков (а равно неосновательного обогащения).</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w:t>
      </w:r>
      <w:r w:rsidRPr="004436FA">
        <w:rPr>
          <w:rFonts w:ascii="Times New Roman" w:hAnsi="Times New Roman"/>
          <w:sz w:val="28"/>
          <w:szCs w:val="28"/>
        </w:rPr>
        <w:t xml:space="preserve">. Решение Арбитражного суда </w:t>
      </w:r>
      <w:r>
        <w:rPr>
          <w:rFonts w:ascii="Times New Roman" w:hAnsi="Times New Roman"/>
          <w:sz w:val="28"/>
          <w:szCs w:val="28"/>
        </w:rPr>
        <w:t>г. Москвы от 25.07.2013,</w:t>
      </w:r>
      <w:r w:rsidRPr="004436FA">
        <w:rPr>
          <w:rFonts w:ascii="Times New Roman" w:hAnsi="Times New Roman"/>
          <w:sz w:val="28"/>
          <w:szCs w:val="28"/>
        </w:rPr>
        <w:t xml:space="preserve"> постановление Девятого арбитражного апелляционного суда от </w:t>
      </w:r>
      <w:r>
        <w:rPr>
          <w:rFonts w:ascii="Times New Roman" w:hAnsi="Times New Roman"/>
          <w:sz w:val="28"/>
          <w:szCs w:val="28"/>
        </w:rPr>
        <w:t xml:space="preserve">06.11.2013 </w:t>
      </w:r>
      <w:r w:rsidRPr="004436FA">
        <w:rPr>
          <w:rFonts w:ascii="Times New Roman" w:hAnsi="Times New Roman"/>
          <w:sz w:val="28"/>
          <w:szCs w:val="28"/>
        </w:rPr>
        <w:t>по делу № А40-33952/2013 о взыскании убытков, причиненных, согласно позиции истца, нарушением ответчиком при реализации товара пунктов 6, 8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Суды отказали в иске, поскольку, по их мнению, истец не доказал факт злоупотребления ответчиком доминирующим положением. При этом привлеченный к участию в деле в качестве третьего лица антимонопольный орган не усмотрел в действиях ответчика нарушения антимонопольного законодательства.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lastRenderedPageBreak/>
        <w:t>Важно отметить, что при своевременном обращении лица, считающего себя потенциально пострадавшим, за защитой в антимонопольный орган существующие процессуальные сроки рассмотрения антимонопольных дел позволяют полностью соблюсти в дальнейшем и сроки исковой давности для обращения в суд.</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Среди иностранных юрисдикций взыскание убытков на основании нарушения законодательства</w:t>
      </w:r>
      <w:r>
        <w:rPr>
          <w:rFonts w:ascii="Times New Roman" w:hAnsi="Times New Roman"/>
          <w:sz w:val="28"/>
          <w:szCs w:val="28"/>
        </w:rPr>
        <w:t xml:space="preserve"> о защите конкуренции</w:t>
      </w:r>
      <w:r w:rsidRPr="004436FA">
        <w:rPr>
          <w:rFonts w:ascii="Times New Roman" w:hAnsi="Times New Roman"/>
          <w:sz w:val="28"/>
          <w:szCs w:val="28"/>
        </w:rPr>
        <w:t xml:space="preserve">, подтвержденного решением антимонопольного органа, распространено, в частности, в европейских </w:t>
      </w:r>
      <w:r>
        <w:rPr>
          <w:rFonts w:ascii="Times New Roman" w:hAnsi="Times New Roman"/>
          <w:sz w:val="28"/>
          <w:szCs w:val="28"/>
        </w:rPr>
        <w:t>странах и именуется «</w:t>
      </w:r>
      <w:proofErr w:type="spellStart"/>
      <w:r>
        <w:rPr>
          <w:rFonts w:ascii="Times New Roman" w:hAnsi="Times New Roman"/>
          <w:sz w:val="28"/>
          <w:szCs w:val="28"/>
        </w:rPr>
        <w:t>follow-on</w:t>
      </w:r>
      <w:proofErr w:type="spellEnd"/>
      <w:r>
        <w:rPr>
          <w:rFonts w:ascii="Times New Roman" w:hAnsi="Times New Roman"/>
          <w:sz w:val="28"/>
          <w:szCs w:val="28"/>
        </w:rPr>
        <w:t>»-</w:t>
      </w:r>
      <w:r w:rsidRPr="004436FA">
        <w:rPr>
          <w:rFonts w:ascii="Times New Roman" w:hAnsi="Times New Roman"/>
          <w:sz w:val="28"/>
          <w:szCs w:val="28"/>
        </w:rPr>
        <w:t>исками.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Вме</w:t>
      </w:r>
      <w:r>
        <w:rPr>
          <w:rFonts w:ascii="Times New Roman" w:hAnsi="Times New Roman"/>
          <w:sz w:val="28"/>
          <w:szCs w:val="28"/>
        </w:rPr>
        <w:t>сте с тем</w:t>
      </w:r>
      <w:r w:rsidRPr="004436FA">
        <w:rPr>
          <w:rFonts w:ascii="Times New Roman" w:hAnsi="Times New Roman"/>
          <w:sz w:val="28"/>
          <w:szCs w:val="28"/>
        </w:rPr>
        <w:t xml:space="preserve"> законодательство не препятствует пострадавшему лицу обращаться в суд с иском о возмещении убытков </w:t>
      </w:r>
      <w:proofErr w:type="gramStart"/>
      <w:r w:rsidRPr="004436FA">
        <w:rPr>
          <w:rFonts w:ascii="Times New Roman" w:hAnsi="Times New Roman"/>
          <w:sz w:val="28"/>
          <w:szCs w:val="28"/>
        </w:rPr>
        <w:t>до</w:t>
      </w:r>
      <w:proofErr w:type="gramEnd"/>
      <w:r w:rsidRPr="004436FA">
        <w:rPr>
          <w:rFonts w:ascii="Times New Roman" w:hAnsi="Times New Roman"/>
          <w:sz w:val="28"/>
          <w:szCs w:val="28"/>
        </w:rPr>
        <w:t xml:space="preserve"> или </w:t>
      </w:r>
      <w:proofErr w:type="gramStart"/>
      <w:r w:rsidRPr="004436FA">
        <w:rPr>
          <w:rFonts w:ascii="Times New Roman" w:hAnsi="Times New Roman"/>
          <w:sz w:val="28"/>
          <w:szCs w:val="28"/>
        </w:rPr>
        <w:t>без</w:t>
      </w:r>
      <w:proofErr w:type="gramEnd"/>
      <w:r w:rsidRPr="004436FA">
        <w:rPr>
          <w:rFonts w:ascii="Times New Roman" w:hAnsi="Times New Roman"/>
          <w:sz w:val="28"/>
          <w:szCs w:val="28"/>
        </w:rPr>
        <w:t xml:space="preserve"> вынесения соответствующего решения антимонопольным органом (так называемые «</w:t>
      </w:r>
      <w:proofErr w:type="spellStart"/>
      <w:r w:rsidRPr="004436FA">
        <w:rPr>
          <w:rFonts w:ascii="Times New Roman" w:hAnsi="Times New Roman"/>
          <w:sz w:val="28"/>
          <w:szCs w:val="28"/>
        </w:rPr>
        <w:t>stand-alone</w:t>
      </w:r>
      <w:proofErr w:type="spellEnd"/>
      <w:r w:rsidRPr="004436FA">
        <w:rPr>
          <w:rFonts w:ascii="Times New Roman" w:hAnsi="Times New Roman"/>
          <w:sz w:val="28"/>
          <w:szCs w:val="28"/>
        </w:rPr>
        <w:t>»-иски</w:t>
      </w:r>
      <w:r>
        <w:rPr>
          <w:rFonts w:ascii="Times New Roman" w:hAnsi="Times New Roman"/>
          <w:sz w:val="28"/>
          <w:szCs w:val="28"/>
        </w:rPr>
        <w:t>,</w:t>
      </w:r>
      <w:r w:rsidRPr="004436FA">
        <w:rPr>
          <w:rFonts w:ascii="Times New Roman" w:hAnsi="Times New Roman"/>
          <w:sz w:val="28"/>
          <w:szCs w:val="28"/>
        </w:rPr>
        <w:t xml:space="preserve"> согласно зарубежной правовой терминологии).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w:t>
      </w:r>
      <w:r w:rsidRPr="004436FA">
        <w:rPr>
          <w:rFonts w:ascii="Times New Roman" w:hAnsi="Times New Roman"/>
          <w:sz w:val="28"/>
          <w:szCs w:val="28"/>
        </w:rPr>
        <w:t>. Постановление Федерального арбитражног</w:t>
      </w:r>
      <w:r>
        <w:rPr>
          <w:rFonts w:ascii="Times New Roman" w:hAnsi="Times New Roman"/>
          <w:sz w:val="28"/>
          <w:szCs w:val="28"/>
        </w:rPr>
        <w:t>о суда Московского округа от 20.12.</w:t>
      </w:r>
      <w:r w:rsidRPr="004436FA">
        <w:rPr>
          <w:rFonts w:ascii="Times New Roman" w:hAnsi="Times New Roman"/>
          <w:sz w:val="28"/>
          <w:szCs w:val="28"/>
        </w:rPr>
        <w:t>2</w:t>
      </w:r>
      <w:r>
        <w:rPr>
          <w:rFonts w:ascii="Times New Roman" w:hAnsi="Times New Roman"/>
          <w:sz w:val="28"/>
          <w:szCs w:val="28"/>
        </w:rPr>
        <w:t>011 по делу № А40-12966/2010.</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Суд кассационной инстанции подтвердил, что истец по делу о взыскании убытков вправе доказывать нарушение ответчиком антимонопольного законодательства не только ссылками на решение антимонопольного органа, но и представлением иных доказательств.</w:t>
      </w:r>
    </w:p>
    <w:p w:rsidR="00DB066E" w:rsidRDefault="00DB066E" w:rsidP="00DB066E">
      <w:pPr>
        <w:autoSpaceDE w:val="0"/>
        <w:autoSpaceDN w:val="0"/>
        <w:adjustRightInd w:val="0"/>
        <w:spacing w:after="0" w:line="240" w:lineRule="auto"/>
        <w:ind w:firstLine="709"/>
        <w:jc w:val="both"/>
        <w:rPr>
          <w:rStyle w:val="aff5"/>
          <w:rFonts w:ascii="Times New Roman" w:hAnsi="Times New Roman"/>
          <w:b w:val="0"/>
          <w:sz w:val="28"/>
          <w:szCs w:val="28"/>
        </w:rPr>
      </w:pPr>
      <w:r w:rsidRPr="004436FA">
        <w:rPr>
          <w:rFonts w:ascii="Times New Roman" w:hAnsi="Times New Roman"/>
          <w:sz w:val="28"/>
          <w:szCs w:val="28"/>
        </w:rPr>
        <w:t>В таких случаях антимонопольный орган должен быть уведомлен судом о начавшемся процессе, а в дальнейшем должен быть определен статус антимонопольного органа ка</w:t>
      </w:r>
      <w:r>
        <w:rPr>
          <w:rFonts w:ascii="Times New Roman" w:hAnsi="Times New Roman"/>
          <w:sz w:val="28"/>
          <w:szCs w:val="28"/>
        </w:rPr>
        <w:t>к участника процесса (пункт 21 п</w:t>
      </w:r>
      <w:r w:rsidRPr="004436FA">
        <w:rPr>
          <w:rFonts w:ascii="Times New Roman" w:hAnsi="Times New Roman"/>
          <w:sz w:val="28"/>
          <w:szCs w:val="28"/>
        </w:rPr>
        <w:t xml:space="preserve">остановления </w:t>
      </w:r>
      <w:r w:rsidRPr="00325E46">
        <w:rPr>
          <w:rFonts w:ascii="Times New Roman" w:hAnsi="Times New Roman"/>
          <w:sz w:val="28"/>
          <w:szCs w:val="28"/>
        </w:rPr>
        <w:t xml:space="preserve">Пленума Высшего Арбитражного Суда Российской Федерации от 30.06.2008 № 30 «О </w:t>
      </w:r>
      <w:r w:rsidRPr="00325E46">
        <w:rPr>
          <w:rStyle w:val="aff5"/>
          <w:rFonts w:ascii="Times New Roman" w:hAnsi="Times New Roman"/>
          <w:sz w:val="28"/>
          <w:szCs w:val="28"/>
        </w:rPr>
        <w:t>некоторых вопросах, возникающих в связи с применением арбитражными судами антимонопольного законодательства»).</w:t>
      </w:r>
    </w:p>
    <w:p w:rsidR="00DB066E" w:rsidRDefault="00DB066E" w:rsidP="00DB066E">
      <w:pPr>
        <w:autoSpaceDE w:val="0"/>
        <w:autoSpaceDN w:val="0"/>
        <w:adjustRightInd w:val="0"/>
        <w:spacing w:after="0" w:line="240" w:lineRule="auto"/>
        <w:ind w:firstLine="709"/>
        <w:jc w:val="both"/>
        <w:rPr>
          <w:rFonts w:ascii="Times New Roman" w:hAnsi="Times New Roman"/>
          <w:b/>
          <w:sz w:val="28"/>
          <w:szCs w:val="28"/>
        </w:rPr>
      </w:pPr>
    </w:p>
    <w:p w:rsidR="00DB066E" w:rsidRPr="00325E46" w:rsidRDefault="00DB066E" w:rsidP="00DB066E">
      <w:pPr>
        <w:autoSpaceDE w:val="0"/>
        <w:autoSpaceDN w:val="0"/>
        <w:adjustRightInd w:val="0"/>
        <w:spacing w:after="0" w:line="240" w:lineRule="auto"/>
        <w:ind w:firstLine="709"/>
        <w:jc w:val="both"/>
        <w:rPr>
          <w:rFonts w:ascii="Times New Roman" w:hAnsi="Times New Roman"/>
          <w:b/>
          <w:sz w:val="28"/>
          <w:szCs w:val="28"/>
        </w:rPr>
      </w:pPr>
    </w:p>
    <w:p w:rsidR="00DB066E" w:rsidRPr="00325E46" w:rsidRDefault="00DB066E" w:rsidP="00DB066E">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1.2.2</w:t>
      </w:r>
      <w:r w:rsidRPr="00325E46">
        <w:rPr>
          <w:rFonts w:ascii="Times New Roman" w:hAnsi="Times New Roman"/>
          <w:b/>
          <w:sz w:val="28"/>
          <w:szCs w:val="28"/>
        </w:rPr>
        <w:t xml:space="preserve"> Наличие убытков и их размер.</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Статья 15 ГК РФ и часть 3 статьи 37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позволяют пострадавшему от нарушения антимонопольного законодательства лицу взыскать как реальный ущерб, так и упущенную выгоду.</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в соответствии со статьей 15 ГК РФ</w:t>
      </w:r>
      <w:r>
        <w:rPr>
          <w:rFonts w:ascii="Times New Roman" w:hAnsi="Times New Roman"/>
          <w:sz w:val="28"/>
          <w:szCs w:val="28"/>
        </w:rPr>
        <w:t>,</w:t>
      </w:r>
      <w:r w:rsidRPr="004436FA">
        <w:rPr>
          <w:rFonts w:ascii="Times New Roman" w:hAnsi="Times New Roman"/>
          <w:sz w:val="28"/>
          <w:szCs w:val="28"/>
        </w:rPr>
        <w:t xml:space="preserve"> по общему правилу</w:t>
      </w:r>
      <w:r>
        <w:rPr>
          <w:rFonts w:ascii="Times New Roman" w:hAnsi="Times New Roman"/>
          <w:sz w:val="28"/>
          <w:szCs w:val="28"/>
        </w:rPr>
        <w:t>,</w:t>
      </w:r>
      <w:r w:rsidRPr="004436FA">
        <w:rPr>
          <w:rFonts w:ascii="Times New Roman" w:hAnsi="Times New Roman"/>
          <w:sz w:val="28"/>
          <w:szCs w:val="28"/>
        </w:rPr>
        <w:t xml:space="preserve"> лицо, право которого нарушено, может требовать полного возмещения причиненных ему убытков. Возмещение убытков в меньшем размере возможно в случаях, предусмотренных законом.</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Реальный ущерб представляет собой расходы, которые лицо, чье право нарушено, произвело или должно будет произвести для восстановления нарушенного права, утрату или повреждение его имущества.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Как отмечается в пункте 13 </w:t>
      </w:r>
      <w:r>
        <w:rPr>
          <w:rFonts w:ascii="Times New Roman" w:hAnsi="Times New Roman"/>
          <w:sz w:val="28"/>
          <w:szCs w:val="28"/>
        </w:rPr>
        <w:t>п</w:t>
      </w:r>
      <w:r w:rsidRPr="004436FA">
        <w:rPr>
          <w:rFonts w:ascii="Times New Roman" w:hAnsi="Times New Roman"/>
          <w:sz w:val="28"/>
          <w:szCs w:val="28"/>
        </w:rPr>
        <w:t>остановления П</w:t>
      </w:r>
      <w:r>
        <w:rPr>
          <w:rFonts w:ascii="Times New Roman" w:hAnsi="Times New Roman"/>
          <w:sz w:val="28"/>
          <w:szCs w:val="28"/>
        </w:rPr>
        <w:t>ленума Верховного Суда Российской Федерации от 23.06.</w:t>
      </w:r>
      <w:r w:rsidRPr="004436FA">
        <w:rPr>
          <w:rFonts w:ascii="Times New Roman" w:hAnsi="Times New Roman"/>
          <w:sz w:val="28"/>
          <w:szCs w:val="28"/>
        </w:rPr>
        <w:t xml:space="preserve">2015 № 25, при разрешении споров, связанных с возмещением убытков, необходимо иметь в виду, что в состав реального ущерба входят не только фактически понесенные </w:t>
      </w:r>
      <w:r w:rsidRPr="004436FA">
        <w:rPr>
          <w:rFonts w:ascii="Times New Roman" w:hAnsi="Times New Roman"/>
          <w:sz w:val="28"/>
          <w:szCs w:val="28"/>
        </w:rPr>
        <w:lastRenderedPageBreak/>
        <w:t>соответствующим лицом расходы, но и расходы, которые это лицо должно будет произвести для восстановления нарушенного права.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Примером реального ущерба является уплата пострадавшим лицом необоснованно завышенной (в силу картеля, необоснованного изъятия товара из обращения и др.) цены, а также несение пострадавшим лицом необоснованных расходов в связи с навязыванием нарушителем невыгодных условий договора или отказом от заключения договора и др.</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1.</w:t>
      </w:r>
      <w:r w:rsidRPr="004436FA">
        <w:rPr>
          <w:rFonts w:ascii="Times New Roman" w:hAnsi="Times New Roman"/>
          <w:sz w:val="28"/>
          <w:szCs w:val="28"/>
        </w:rPr>
        <w:t xml:space="preserve"> Решение Арбитражного суда </w:t>
      </w:r>
      <w:r>
        <w:rPr>
          <w:rFonts w:ascii="Times New Roman" w:hAnsi="Times New Roman"/>
          <w:sz w:val="28"/>
          <w:szCs w:val="28"/>
        </w:rPr>
        <w:t>г. Москвы от 12.07.</w:t>
      </w:r>
      <w:r w:rsidRPr="004436FA">
        <w:rPr>
          <w:rFonts w:ascii="Times New Roman" w:hAnsi="Times New Roman"/>
          <w:sz w:val="28"/>
          <w:szCs w:val="28"/>
        </w:rPr>
        <w:t>2010 по делу № А40-46424/10-59-378 о взыскании реального ущерба, причиненного нарушением ответчиком пункта 6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ФАС России.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результате суд взыскал в пользу истца реальный ущерб в размере 1 141 085 606 руб. 15 коп</w:t>
      </w:r>
      <w:proofErr w:type="gramStart"/>
      <w:r w:rsidRPr="004436FA">
        <w:rPr>
          <w:rFonts w:ascii="Times New Roman" w:hAnsi="Times New Roman"/>
          <w:sz w:val="28"/>
          <w:szCs w:val="28"/>
        </w:rPr>
        <w:t>.</w:t>
      </w:r>
      <w:proofErr w:type="gramEnd"/>
      <w:r w:rsidRPr="004436FA">
        <w:rPr>
          <w:rFonts w:ascii="Times New Roman" w:hAnsi="Times New Roman"/>
          <w:sz w:val="28"/>
          <w:szCs w:val="28"/>
        </w:rPr>
        <w:t xml:space="preserve"> (</w:t>
      </w:r>
      <w:proofErr w:type="gramStart"/>
      <w:r w:rsidRPr="004436FA">
        <w:rPr>
          <w:rFonts w:ascii="Times New Roman" w:hAnsi="Times New Roman"/>
          <w:sz w:val="28"/>
          <w:szCs w:val="28"/>
        </w:rPr>
        <w:t>р</w:t>
      </w:r>
      <w:proofErr w:type="gramEnd"/>
      <w:r w:rsidRPr="004436FA">
        <w:rPr>
          <w:rFonts w:ascii="Times New Roman" w:hAnsi="Times New Roman"/>
          <w:sz w:val="28"/>
          <w:szCs w:val="28"/>
        </w:rPr>
        <w:t>азница между уплаченной истцом ценой товара, неправомерно установленной ответчиком, и ценой, определенной как обоснованная ФАС России).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2.</w:t>
      </w:r>
      <w:r w:rsidRPr="004436FA">
        <w:rPr>
          <w:rFonts w:ascii="Times New Roman" w:hAnsi="Times New Roman"/>
          <w:sz w:val="28"/>
          <w:szCs w:val="28"/>
        </w:rPr>
        <w:t xml:space="preserve"> </w:t>
      </w:r>
      <w:proofErr w:type="gramStart"/>
      <w:r w:rsidRPr="004436FA">
        <w:rPr>
          <w:rFonts w:ascii="Times New Roman" w:hAnsi="Times New Roman"/>
          <w:sz w:val="28"/>
          <w:szCs w:val="28"/>
        </w:rPr>
        <w:t>Решение Арбитр</w:t>
      </w:r>
      <w:r>
        <w:rPr>
          <w:rFonts w:ascii="Times New Roman" w:hAnsi="Times New Roman"/>
          <w:sz w:val="28"/>
          <w:szCs w:val="28"/>
        </w:rPr>
        <w:t>ажного суда города Москвы от 12.03.</w:t>
      </w:r>
      <w:r w:rsidRPr="004436FA">
        <w:rPr>
          <w:rFonts w:ascii="Times New Roman" w:hAnsi="Times New Roman"/>
          <w:sz w:val="28"/>
          <w:szCs w:val="28"/>
        </w:rPr>
        <w:t>2013, постановление Федерального арбитражног</w:t>
      </w:r>
      <w:r>
        <w:rPr>
          <w:rFonts w:ascii="Times New Roman" w:hAnsi="Times New Roman"/>
          <w:sz w:val="28"/>
          <w:szCs w:val="28"/>
        </w:rPr>
        <w:t>о суда Московского округа от 30.09.</w:t>
      </w:r>
      <w:r w:rsidRPr="004436FA">
        <w:rPr>
          <w:rFonts w:ascii="Times New Roman" w:hAnsi="Times New Roman"/>
          <w:sz w:val="28"/>
          <w:szCs w:val="28"/>
        </w:rPr>
        <w:t xml:space="preserve">2013 по делу № А40-143297/2012 о взыскании убытков </w:t>
      </w:r>
      <w:r>
        <w:rPr>
          <w:rFonts w:ascii="Times New Roman" w:hAnsi="Times New Roman"/>
          <w:sz w:val="28"/>
          <w:szCs w:val="28"/>
        </w:rPr>
        <w:t xml:space="preserve">в связи с </w:t>
      </w:r>
      <w:r w:rsidRPr="004436FA">
        <w:rPr>
          <w:rFonts w:ascii="Times New Roman" w:hAnsi="Times New Roman"/>
          <w:sz w:val="28"/>
          <w:szCs w:val="28"/>
        </w:rPr>
        <w:t xml:space="preserve"> нарушени</w:t>
      </w:r>
      <w:r>
        <w:rPr>
          <w:rFonts w:ascii="Times New Roman" w:hAnsi="Times New Roman"/>
          <w:sz w:val="28"/>
          <w:szCs w:val="28"/>
        </w:rPr>
        <w:t>ем</w:t>
      </w:r>
      <w:r w:rsidRPr="004436FA">
        <w:rPr>
          <w:rFonts w:ascii="Times New Roman" w:hAnsi="Times New Roman"/>
          <w:sz w:val="28"/>
          <w:szCs w:val="28"/>
        </w:rPr>
        <w:t xml:space="preserve"> пункта 4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roofErr w:type="gramEnd"/>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Суды взыскали с железнодорожной компании, необоснованно отказавшейся предоставлять истцу под погрузку полувагоны, реальный ущерб. Данный ущерб выразился в дополнительных расходах истца из-за вынужденного использования услуг иных контрагентов. Таким образом, при обосновании размера реального ущерба пострадавшему лицу необходимо представить не только математические расчеты, но и соответствующие доказательства, к которым могут быть отнесены: разница между ценой, фактически уплаченной пострадавшим в результате нарушения</w:t>
      </w:r>
      <w:r>
        <w:rPr>
          <w:rFonts w:ascii="Times New Roman" w:hAnsi="Times New Roman"/>
          <w:sz w:val="28"/>
          <w:szCs w:val="28"/>
        </w:rPr>
        <w:t>,</w:t>
      </w:r>
      <w:r w:rsidRPr="004436FA">
        <w:rPr>
          <w:rFonts w:ascii="Times New Roman" w:hAnsi="Times New Roman"/>
          <w:sz w:val="28"/>
          <w:szCs w:val="28"/>
        </w:rPr>
        <w:t xml:space="preserve"> и ценой, которая могла быть установлена при отсутствии нарушения, и др.</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Упущенная выгода представляет собой  неполученные доходы, которые это лицо получило бы при обычных условиях гражданского оборота, если бы его право не было нарушено (пункт 2 статьи 15 ГК РФ).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пункте 14 п</w:t>
      </w:r>
      <w:r w:rsidRPr="004436FA">
        <w:rPr>
          <w:rFonts w:ascii="Times New Roman" w:hAnsi="Times New Roman"/>
          <w:sz w:val="28"/>
          <w:szCs w:val="28"/>
        </w:rPr>
        <w:t>остановления П</w:t>
      </w:r>
      <w:r>
        <w:rPr>
          <w:rFonts w:ascii="Times New Roman" w:hAnsi="Times New Roman"/>
          <w:sz w:val="28"/>
          <w:szCs w:val="28"/>
        </w:rPr>
        <w:t>ленума Верховного Суда РФ от 23.06.</w:t>
      </w:r>
      <w:r w:rsidRPr="004436FA">
        <w:rPr>
          <w:rFonts w:ascii="Times New Roman" w:hAnsi="Times New Roman"/>
          <w:sz w:val="28"/>
          <w:szCs w:val="28"/>
        </w:rPr>
        <w:t>2015 № 25 также указывается, что  упущенной выгодой является неполученный доход, на который увеличилась бы имущественная масса лица, право которого нарушено, если бы нарушения не было.</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Как разъясняет там же Пленум Верховного Суда РФ, поскольку упущенная выгода представляет собой неполученный доход, при разрешении споров, связанных с ее возмещением, следует принимать во внимание, что ее расчет, представленный истцом, как правило, является приблизительным и </w:t>
      </w:r>
      <w:r w:rsidRPr="004436FA">
        <w:rPr>
          <w:rFonts w:ascii="Times New Roman" w:hAnsi="Times New Roman"/>
          <w:sz w:val="28"/>
          <w:szCs w:val="28"/>
        </w:rPr>
        <w:lastRenderedPageBreak/>
        <w:t>носит вероятностный характер. Это обстоятельство само по себе не может служить основанием для отказа в иске.</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силу пункта 2 статьи 15 ГК РФ если лицо, нарушившее право, получило вследствие этого доходы, лицо, право которого нарушено, вправе требовать возмещения</w:t>
      </w:r>
      <w:r>
        <w:rPr>
          <w:rFonts w:ascii="Times New Roman" w:hAnsi="Times New Roman"/>
          <w:sz w:val="28"/>
          <w:szCs w:val="28"/>
        </w:rPr>
        <w:t>,</w:t>
      </w:r>
      <w:r w:rsidRPr="004436FA">
        <w:rPr>
          <w:rFonts w:ascii="Times New Roman" w:hAnsi="Times New Roman"/>
          <w:sz w:val="28"/>
          <w:szCs w:val="28"/>
        </w:rPr>
        <w:t xml:space="preserve"> наряду с другими убытками</w:t>
      </w:r>
      <w:r>
        <w:rPr>
          <w:rFonts w:ascii="Times New Roman" w:hAnsi="Times New Roman"/>
          <w:sz w:val="28"/>
          <w:szCs w:val="28"/>
        </w:rPr>
        <w:t>,</w:t>
      </w:r>
      <w:r w:rsidRPr="004436FA">
        <w:rPr>
          <w:rFonts w:ascii="Times New Roman" w:hAnsi="Times New Roman"/>
          <w:sz w:val="28"/>
          <w:szCs w:val="28"/>
        </w:rPr>
        <w:t xml:space="preserve"> упущенной выгоды в размере не меньшем, чем такие доходы.</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Поскольку упущенная выгода представляет собой именно неполученный доход (прибыль) пострадавшего лица, сохраняет актуальность принципиальный подход, предусматривавшийся в исключенном на сегодняшний день, но получившем широкое применение на практике</w:t>
      </w:r>
      <w:r>
        <w:rPr>
          <w:rFonts w:ascii="Times New Roman" w:hAnsi="Times New Roman"/>
          <w:sz w:val="28"/>
          <w:szCs w:val="28"/>
        </w:rPr>
        <w:t xml:space="preserve"> пункте 11 п</w:t>
      </w:r>
      <w:r w:rsidRPr="004436FA">
        <w:rPr>
          <w:rFonts w:ascii="Times New Roman" w:hAnsi="Times New Roman"/>
          <w:sz w:val="28"/>
          <w:szCs w:val="28"/>
        </w:rPr>
        <w:t xml:space="preserve">остановления Пленума Верховного Суда РФ и Пленума Высшего Арбитражного Суда РФ от </w:t>
      </w:r>
      <w:r>
        <w:rPr>
          <w:rFonts w:ascii="Times New Roman" w:hAnsi="Times New Roman"/>
          <w:sz w:val="28"/>
          <w:szCs w:val="28"/>
        </w:rPr>
        <w:t>01.07.</w:t>
      </w:r>
      <w:r w:rsidRPr="004436FA">
        <w:rPr>
          <w:rFonts w:ascii="Times New Roman" w:hAnsi="Times New Roman"/>
          <w:sz w:val="28"/>
          <w:szCs w:val="28"/>
        </w:rPr>
        <w:t>1996 № 6/8 «О некоторых вопросах, связанных с применением части первой Гражданского кодекса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(в настоящее время суды руководствуются аналогичными разъяснениями, сод</w:t>
      </w:r>
      <w:r>
        <w:rPr>
          <w:rFonts w:ascii="Times New Roman" w:hAnsi="Times New Roman"/>
          <w:sz w:val="28"/>
          <w:szCs w:val="28"/>
        </w:rPr>
        <w:t>ержащимися в абзаце 2 пункта 2 п</w:t>
      </w:r>
      <w:r w:rsidRPr="004436FA">
        <w:rPr>
          <w:rFonts w:ascii="Times New Roman" w:hAnsi="Times New Roman"/>
          <w:sz w:val="28"/>
          <w:szCs w:val="28"/>
        </w:rPr>
        <w:t>остановления П</w:t>
      </w:r>
      <w:r>
        <w:rPr>
          <w:rFonts w:ascii="Times New Roman" w:hAnsi="Times New Roman"/>
          <w:sz w:val="28"/>
          <w:szCs w:val="28"/>
        </w:rPr>
        <w:t>ленума Верховного Суда РФ от 24.03.</w:t>
      </w:r>
      <w:r w:rsidRPr="004436FA">
        <w:rPr>
          <w:rFonts w:ascii="Times New Roman" w:hAnsi="Times New Roman"/>
          <w:sz w:val="28"/>
          <w:szCs w:val="28"/>
        </w:rPr>
        <w:t>2016 № 7 «О применении судами некоторых положений Гражданского кодекса Российской Федерации об ответственности за нарушение обязательств»). По смыслу указанного пункта размер неполученного дохода (упущенной выгоды) должен определяться с учетом разумных затрат, которые кредитор должен был понести для извлечения данного дохода (производственные, транспортные и иные расходы).</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Иной подход означал бы «</w:t>
      </w:r>
      <w:proofErr w:type="spellStart"/>
      <w:r w:rsidRPr="004436FA">
        <w:rPr>
          <w:rFonts w:ascii="Times New Roman" w:hAnsi="Times New Roman"/>
          <w:sz w:val="28"/>
          <w:szCs w:val="28"/>
        </w:rPr>
        <w:t>сверхкомпенсацию</w:t>
      </w:r>
      <w:proofErr w:type="spellEnd"/>
      <w:r w:rsidRPr="004436FA">
        <w:rPr>
          <w:rFonts w:ascii="Times New Roman" w:hAnsi="Times New Roman"/>
          <w:sz w:val="28"/>
          <w:szCs w:val="28"/>
        </w:rPr>
        <w:t>» имущественных потерь истца, его необоснованное обогащение и взыскание с ответчика излишних сумм.</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Несмотря на то, что </w:t>
      </w:r>
      <w:r>
        <w:rPr>
          <w:rFonts w:ascii="Times New Roman" w:hAnsi="Times New Roman"/>
          <w:sz w:val="28"/>
          <w:szCs w:val="28"/>
        </w:rPr>
        <w:t>убытки в</w:t>
      </w:r>
      <w:r w:rsidRPr="004436FA">
        <w:rPr>
          <w:rFonts w:ascii="Times New Roman" w:hAnsi="Times New Roman"/>
          <w:sz w:val="28"/>
          <w:szCs w:val="28"/>
        </w:rPr>
        <w:t xml:space="preserve">виду упущенной выгоды являются распространенным последствием нарушений антимонопольного законодательства, данный вид </w:t>
      </w:r>
      <w:r>
        <w:rPr>
          <w:rFonts w:ascii="Times New Roman" w:hAnsi="Times New Roman"/>
          <w:sz w:val="28"/>
          <w:szCs w:val="28"/>
        </w:rPr>
        <w:t>убытков</w:t>
      </w:r>
      <w:r w:rsidRPr="004436FA">
        <w:rPr>
          <w:rFonts w:ascii="Times New Roman" w:hAnsi="Times New Roman"/>
          <w:sz w:val="28"/>
          <w:szCs w:val="28"/>
        </w:rPr>
        <w:t xml:space="preserve"> является наиболее сложным в доказывании. Отказы в удовлетворении требований о взыскании упущенной выгоды достаточно распространены.</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то же время имеется и положительная практика по таким искам.</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1.</w:t>
      </w:r>
      <w:r w:rsidRPr="004436FA">
        <w:rPr>
          <w:rFonts w:ascii="Times New Roman" w:hAnsi="Times New Roman"/>
          <w:sz w:val="28"/>
          <w:szCs w:val="28"/>
        </w:rPr>
        <w:t xml:space="preserve"> Постановление Федерального арбитражного суда Московского округа от </w:t>
      </w:r>
      <w:r>
        <w:rPr>
          <w:rFonts w:ascii="Times New Roman" w:hAnsi="Times New Roman"/>
          <w:sz w:val="28"/>
          <w:szCs w:val="28"/>
        </w:rPr>
        <w:t>07.09.2012</w:t>
      </w:r>
      <w:r w:rsidRPr="004436FA">
        <w:rPr>
          <w:rFonts w:ascii="Times New Roman" w:hAnsi="Times New Roman"/>
          <w:sz w:val="28"/>
          <w:szCs w:val="28"/>
        </w:rPr>
        <w:t xml:space="preserve"> по делу № А40-118546/2010 по делу о взыскании упущенной выгоды, вызванной необоснованным прекращением ответчиком поставки сырья (нарушение антимонопольного законодательства было по</w:t>
      </w:r>
      <w:r>
        <w:rPr>
          <w:rFonts w:ascii="Times New Roman" w:hAnsi="Times New Roman"/>
          <w:sz w:val="28"/>
          <w:szCs w:val="28"/>
        </w:rPr>
        <w:t>дтверждено решением ФАС России).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пользу истца было взыскано более 111 млн. руб. упущенной выгоды, рассчитанной на основании заключения судебной экспертизы. По мнению судов, отказ ответчика в поставке сырья (</w:t>
      </w:r>
      <w:proofErr w:type="spellStart"/>
      <w:r w:rsidRPr="004436FA">
        <w:rPr>
          <w:rFonts w:ascii="Times New Roman" w:hAnsi="Times New Roman"/>
          <w:sz w:val="28"/>
          <w:szCs w:val="28"/>
        </w:rPr>
        <w:t>белитового</w:t>
      </w:r>
      <w:proofErr w:type="spellEnd"/>
      <w:r w:rsidRPr="004436FA">
        <w:rPr>
          <w:rFonts w:ascii="Times New Roman" w:hAnsi="Times New Roman"/>
          <w:sz w:val="28"/>
          <w:szCs w:val="28"/>
        </w:rPr>
        <w:t xml:space="preserve"> шлама) стал единственной причиной, воспрепятствовавшей истцу в производстве и реализации готовой продукции (цемент) и получении дохода.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Представляется целесообразным привести здесь отдельные вопросы, вынесенные судом и сторонами этого спора на исследование судебной </w:t>
      </w:r>
      <w:r w:rsidRPr="004436FA">
        <w:rPr>
          <w:rFonts w:ascii="Times New Roman" w:hAnsi="Times New Roman"/>
          <w:sz w:val="28"/>
          <w:szCs w:val="28"/>
        </w:rPr>
        <w:lastRenderedPageBreak/>
        <w:t xml:space="preserve">экспертизы </w:t>
      </w:r>
      <w:r>
        <w:rPr>
          <w:rFonts w:ascii="Times New Roman" w:hAnsi="Times New Roman"/>
          <w:sz w:val="28"/>
          <w:szCs w:val="28"/>
        </w:rPr>
        <w:t>(определение</w:t>
      </w:r>
      <w:r w:rsidRPr="004436FA">
        <w:rPr>
          <w:rFonts w:ascii="Times New Roman" w:hAnsi="Times New Roman"/>
          <w:sz w:val="28"/>
          <w:szCs w:val="28"/>
        </w:rPr>
        <w:t xml:space="preserve"> Арбитражного суда г</w:t>
      </w:r>
      <w:r>
        <w:rPr>
          <w:rFonts w:ascii="Times New Roman" w:hAnsi="Times New Roman"/>
          <w:sz w:val="28"/>
          <w:szCs w:val="28"/>
        </w:rPr>
        <w:t>.</w:t>
      </w:r>
      <w:r w:rsidRPr="004436FA">
        <w:rPr>
          <w:rFonts w:ascii="Times New Roman" w:hAnsi="Times New Roman"/>
          <w:sz w:val="28"/>
          <w:szCs w:val="28"/>
        </w:rPr>
        <w:t xml:space="preserve"> Москвы по указанному делу от </w:t>
      </w:r>
      <w:r>
        <w:rPr>
          <w:rFonts w:ascii="Times New Roman" w:hAnsi="Times New Roman"/>
          <w:sz w:val="28"/>
          <w:szCs w:val="28"/>
        </w:rPr>
        <w:t>01.07.</w:t>
      </w:r>
      <w:r w:rsidRPr="004436FA">
        <w:rPr>
          <w:rFonts w:ascii="Times New Roman" w:hAnsi="Times New Roman"/>
          <w:sz w:val="28"/>
          <w:szCs w:val="28"/>
        </w:rPr>
        <w:t>2011):</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«а) Какой доход (за вычетом расходов, которые понес бы Истец при производстве цемента марки ЦЕМ II/А-Ш 32.5</w:t>
      </w:r>
      <w:proofErr w:type="gramStart"/>
      <w:r w:rsidRPr="004436FA">
        <w:rPr>
          <w:rFonts w:ascii="Times New Roman" w:hAnsi="Times New Roman"/>
          <w:sz w:val="28"/>
          <w:szCs w:val="28"/>
        </w:rPr>
        <w:t xml:space="preserve"> Б</w:t>
      </w:r>
      <w:proofErr w:type="gramEnd"/>
      <w:r w:rsidRPr="004436FA">
        <w:rPr>
          <w:rFonts w:ascii="Times New Roman" w:hAnsi="Times New Roman"/>
          <w:sz w:val="28"/>
          <w:szCs w:val="28"/>
        </w:rPr>
        <w:t xml:space="preserve"> из 62 140 т </w:t>
      </w:r>
      <w:proofErr w:type="spellStart"/>
      <w:r w:rsidRPr="004436FA">
        <w:rPr>
          <w:rFonts w:ascii="Times New Roman" w:hAnsi="Times New Roman"/>
          <w:sz w:val="28"/>
          <w:szCs w:val="28"/>
        </w:rPr>
        <w:t>белитового</w:t>
      </w:r>
      <w:proofErr w:type="spellEnd"/>
      <w:r w:rsidRPr="004436FA">
        <w:rPr>
          <w:rFonts w:ascii="Times New Roman" w:hAnsi="Times New Roman"/>
          <w:sz w:val="28"/>
          <w:szCs w:val="28"/>
        </w:rPr>
        <w:t xml:space="preserve"> шлама), получил бы Истец, если бы со стороны Ответчика в августе 2008 г. была осуществлена поставка 62 140 т </w:t>
      </w:r>
      <w:proofErr w:type="spellStart"/>
      <w:r w:rsidRPr="004436FA">
        <w:rPr>
          <w:rFonts w:ascii="Times New Roman" w:hAnsi="Times New Roman"/>
          <w:sz w:val="28"/>
          <w:szCs w:val="28"/>
        </w:rPr>
        <w:t>белитового</w:t>
      </w:r>
      <w:proofErr w:type="spellEnd"/>
      <w:r w:rsidRPr="004436FA">
        <w:rPr>
          <w:rFonts w:ascii="Times New Roman" w:hAnsi="Times New Roman"/>
          <w:sz w:val="28"/>
          <w:szCs w:val="28"/>
        </w:rPr>
        <w:t xml:space="preserve"> шлама по договору поставки от 01.04.2006 г. № 21-06-0116-00?</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б) Была ли возможность у Истца произвести цемент марки ЦЕМ 11/A-Ш 32.5</w:t>
      </w:r>
      <w:proofErr w:type="gramStart"/>
      <w:r w:rsidRPr="004436FA">
        <w:rPr>
          <w:rFonts w:ascii="Times New Roman" w:hAnsi="Times New Roman"/>
          <w:sz w:val="28"/>
          <w:szCs w:val="28"/>
        </w:rPr>
        <w:t xml:space="preserve"> Б</w:t>
      </w:r>
      <w:proofErr w:type="gramEnd"/>
      <w:r w:rsidRPr="004436FA">
        <w:rPr>
          <w:rFonts w:ascii="Times New Roman" w:hAnsi="Times New Roman"/>
          <w:sz w:val="28"/>
          <w:szCs w:val="28"/>
        </w:rPr>
        <w:t xml:space="preserve"> в августе 2008 года?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Если у Истца была возможность для производства цемента марки ЦЕМ 11/A-Ш 32.5</w:t>
      </w:r>
      <w:proofErr w:type="gramStart"/>
      <w:r w:rsidRPr="004436FA">
        <w:rPr>
          <w:rFonts w:ascii="Times New Roman" w:hAnsi="Times New Roman"/>
          <w:sz w:val="28"/>
          <w:szCs w:val="28"/>
        </w:rPr>
        <w:t xml:space="preserve"> Б</w:t>
      </w:r>
      <w:proofErr w:type="gramEnd"/>
      <w:r w:rsidRPr="004436FA">
        <w:rPr>
          <w:rFonts w:ascii="Times New Roman" w:hAnsi="Times New Roman"/>
          <w:sz w:val="28"/>
          <w:szCs w:val="28"/>
        </w:rPr>
        <w:t xml:space="preserve">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г) Является ли отсутствие поставки Ответчиком 62 140 т </w:t>
      </w:r>
      <w:proofErr w:type="spellStart"/>
      <w:r w:rsidRPr="004436FA">
        <w:rPr>
          <w:rFonts w:ascii="Times New Roman" w:hAnsi="Times New Roman"/>
          <w:sz w:val="28"/>
          <w:szCs w:val="28"/>
        </w:rPr>
        <w:t>белитового</w:t>
      </w:r>
      <w:proofErr w:type="spellEnd"/>
      <w:r w:rsidRPr="004436FA">
        <w:rPr>
          <w:rFonts w:ascii="Times New Roman" w:hAnsi="Times New Roman"/>
          <w:sz w:val="28"/>
          <w:szCs w:val="28"/>
        </w:rPr>
        <w:t xml:space="preserve"> шлама в августе 2008 г. по договору №21-06-0116-00 от 01.04.2006 г. единственным фактором, не позволившим осуществить производство цемента марки ЦЕМ 11/А-Ш 32.5</w:t>
      </w:r>
      <w:proofErr w:type="gramStart"/>
      <w:r w:rsidRPr="004436FA">
        <w:rPr>
          <w:rFonts w:ascii="Times New Roman" w:hAnsi="Times New Roman"/>
          <w:sz w:val="28"/>
          <w:szCs w:val="28"/>
        </w:rPr>
        <w:t xml:space="preserve"> Б</w:t>
      </w:r>
      <w:proofErr w:type="gramEnd"/>
      <w:r w:rsidRPr="004436FA">
        <w:rPr>
          <w:rFonts w:ascii="Times New Roman" w:hAnsi="Times New Roman"/>
          <w:sz w:val="28"/>
          <w:szCs w:val="28"/>
        </w:rPr>
        <w:t>?</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д) Имел ли Истец возможность и обязательства по реализации цемента марки ЦЕМ 11/А-Ш 32.5</w:t>
      </w:r>
      <w:proofErr w:type="gramStart"/>
      <w:r w:rsidRPr="004436FA">
        <w:rPr>
          <w:rFonts w:ascii="Times New Roman" w:hAnsi="Times New Roman"/>
          <w:sz w:val="28"/>
          <w:szCs w:val="28"/>
        </w:rPr>
        <w:t xml:space="preserve"> Б</w:t>
      </w:r>
      <w:proofErr w:type="gramEnd"/>
      <w:r w:rsidRPr="004436FA">
        <w:rPr>
          <w:rFonts w:ascii="Times New Roman" w:hAnsi="Times New Roman"/>
          <w:sz w:val="28"/>
          <w:szCs w:val="28"/>
        </w:rPr>
        <w:t xml:space="preserve"> в августе 2008 г. и в каком объеме?»</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Экспертиза подтвердила следующее:</w:t>
      </w:r>
    </w:p>
    <w:p w:rsidR="00DB066E" w:rsidRPr="004436FA" w:rsidRDefault="00DB066E" w:rsidP="00DB066E">
      <w:pPr>
        <w:pStyle w:val="ae"/>
        <w:numPr>
          <w:ilvl w:val="0"/>
          <w:numId w:val="40"/>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 xml:space="preserve">Если бы в августе 2008 г. была осуществлена поставка 62 140 тонн </w:t>
      </w:r>
      <w:proofErr w:type="spellStart"/>
      <w:r w:rsidRPr="004436FA">
        <w:rPr>
          <w:rFonts w:ascii="Times New Roman" w:hAnsi="Times New Roman"/>
          <w:sz w:val="28"/>
          <w:szCs w:val="28"/>
        </w:rPr>
        <w:t>белитового</w:t>
      </w:r>
      <w:proofErr w:type="spellEnd"/>
      <w:r w:rsidRPr="004436FA">
        <w:rPr>
          <w:rFonts w:ascii="Times New Roman" w:hAnsi="Times New Roman"/>
          <w:sz w:val="28"/>
          <w:szCs w:val="28"/>
        </w:rPr>
        <w:t xml:space="preserve"> шлама, истец получил бы дополнительный доход в размере 146 181 000 руб.</w:t>
      </w:r>
    </w:p>
    <w:p w:rsidR="00DB066E" w:rsidRPr="004436FA" w:rsidRDefault="00DB066E" w:rsidP="00DB066E">
      <w:pPr>
        <w:pStyle w:val="ae"/>
        <w:numPr>
          <w:ilvl w:val="0"/>
          <w:numId w:val="40"/>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 xml:space="preserve">Для производства цемента у истца имелись все необходимые ресурсы, за исключением </w:t>
      </w:r>
      <w:proofErr w:type="spellStart"/>
      <w:r w:rsidRPr="004436FA">
        <w:rPr>
          <w:rFonts w:ascii="Times New Roman" w:hAnsi="Times New Roman"/>
          <w:sz w:val="28"/>
          <w:szCs w:val="28"/>
        </w:rPr>
        <w:t>белитового</w:t>
      </w:r>
      <w:proofErr w:type="spellEnd"/>
      <w:r w:rsidRPr="004436FA">
        <w:rPr>
          <w:rFonts w:ascii="Times New Roman" w:hAnsi="Times New Roman"/>
          <w:sz w:val="28"/>
          <w:szCs w:val="28"/>
        </w:rPr>
        <w:t xml:space="preserve"> шлама.</w:t>
      </w:r>
    </w:p>
    <w:p w:rsidR="00DB066E" w:rsidRPr="004436FA" w:rsidRDefault="00DB066E" w:rsidP="00DB066E">
      <w:pPr>
        <w:pStyle w:val="ae"/>
        <w:numPr>
          <w:ilvl w:val="0"/>
          <w:numId w:val="40"/>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Истец имел гарантированные обязательства по реализации цемента в августе 2008 г.</w:t>
      </w:r>
    </w:p>
    <w:p w:rsidR="00DB066E" w:rsidRPr="004436FA" w:rsidRDefault="00DB066E" w:rsidP="00DB066E">
      <w:pPr>
        <w:autoSpaceDE w:val="0"/>
        <w:autoSpaceDN w:val="0"/>
        <w:adjustRightInd w:val="0"/>
        <w:spacing w:after="0" w:line="240" w:lineRule="auto"/>
        <w:ind w:firstLine="1276"/>
        <w:jc w:val="both"/>
        <w:rPr>
          <w:rFonts w:ascii="Times New Roman" w:hAnsi="Times New Roman"/>
          <w:sz w:val="28"/>
          <w:szCs w:val="28"/>
        </w:rPr>
      </w:pPr>
      <w:r w:rsidRPr="004436FA">
        <w:rPr>
          <w:rFonts w:ascii="Times New Roman" w:hAnsi="Times New Roman"/>
          <w:sz w:val="28"/>
          <w:szCs w:val="28"/>
        </w:rPr>
        <w:t>В итоге убытки были определены судом как разница между суммой, определенной экспертами (146 181 000 руб.)</w:t>
      </w:r>
      <w:r>
        <w:rPr>
          <w:rFonts w:ascii="Times New Roman" w:hAnsi="Times New Roman"/>
          <w:sz w:val="28"/>
          <w:szCs w:val="28"/>
        </w:rPr>
        <w:t>,</w:t>
      </w:r>
      <w:r w:rsidRPr="004436FA">
        <w:rPr>
          <w:rFonts w:ascii="Times New Roman" w:hAnsi="Times New Roman"/>
          <w:sz w:val="28"/>
          <w:szCs w:val="28"/>
        </w:rPr>
        <w:t xml:space="preserve"> и 35 000 000 руб. пени, взысканной с ответчика за ненадлежащее исполнение договора в рамках другого спора (дело № А40-82320/2008).</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Как результат, в пользу истца была взыскана сумма убытков в размере 111 181 000 руб.</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И истец, и ответчик в этом споре посчитали экспертизу необходимой и совместно выбрали экспертную организацию.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C12D06">
        <w:rPr>
          <w:rFonts w:ascii="Times New Roman" w:hAnsi="Times New Roman"/>
          <w:b/>
          <w:sz w:val="28"/>
          <w:szCs w:val="28"/>
        </w:rPr>
        <w:t>Пример 2.</w:t>
      </w:r>
      <w:r w:rsidRPr="004436FA">
        <w:rPr>
          <w:rFonts w:ascii="Times New Roman" w:hAnsi="Times New Roman"/>
          <w:sz w:val="28"/>
          <w:szCs w:val="28"/>
        </w:rPr>
        <w:t xml:space="preserve"> Постановление Верховного Суда РФ от </w:t>
      </w:r>
      <w:r>
        <w:rPr>
          <w:rFonts w:ascii="Times New Roman" w:hAnsi="Times New Roman"/>
          <w:sz w:val="28"/>
          <w:szCs w:val="28"/>
        </w:rPr>
        <w:t>07.12.</w:t>
      </w:r>
      <w:r w:rsidRPr="004436FA">
        <w:rPr>
          <w:rFonts w:ascii="Times New Roman" w:hAnsi="Times New Roman"/>
          <w:sz w:val="28"/>
          <w:szCs w:val="28"/>
        </w:rPr>
        <w:t>2015</w:t>
      </w:r>
      <w:r>
        <w:rPr>
          <w:rFonts w:ascii="Times New Roman" w:hAnsi="Times New Roman"/>
          <w:sz w:val="28"/>
          <w:szCs w:val="28"/>
        </w:rPr>
        <w:t xml:space="preserve"> по делу № А40-14800/2014.</w:t>
      </w:r>
    </w:p>
    <w:p w:rsidR="00DB066E"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рамках данного дела суды первой и апелляционной инстанций и Верховный Суд РФ установили, что отказ ответчика от заключения нового договора поставки (ранее квалифицированный ФАС России как нарушение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не позволил истцу принять участие в аукционе на поставку </w:t>
      </w:r>
      <w:r>
        <w:rPr>
          <w:rFonts w:ascii="Times New Roman" w:hAnsi="Times New Roman"/>
          <w:sz w:val="28"/>
          <w:szCs w:val="28"/>
        </w:rPr>
        <w:t xml:space="preserve">для государственных нужд </w:t>
      </w:r>
      <w:r w:rsidRPr="004436FA">
        <w:rPr>
          <w:rFonts w:ascii="Times New Roman" w:hAnsi="Times New Roman"/>
          <w:sz w:val="28"/>
          <w:szCs w:val="28"/>
        </w:rPr>
        <w:t xml:space="preserve">лекарственных препаратов, тем самым причинил истцу убытки (упущенную выгоду), размер </w:t>
      </w:r>
      <w:r w:rsidRPr="004436FA">
        <w:rPr>
          <w:rFonts w:ascii="Times New Roman" w:hAnsi="Times New Roman"/>
          <w:sz w:val="28"/>
          <w:szCs w:val="28"/>
        </w:rPr>
        <w:lastRenderedPageBreak/>
        <w:t>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p>
    <w:p w:rsidR="00DB066E" w:rsidRPr="004436FA" w:rsidRDefault="00DB066E" w:rsidP="00DB066E">
      <w:pPr>
        <w:spacing w:after="0" w:line="240" w:lineRule="auto"/>
        <w:ind w:firstLine="709"/>
        <w:jc w:val="both"/>
        <w:rPr>
          <w:rFonts w:ascii="Times New Roman" w:hAnsi="Times New Roman"/>
          <w:sz w:val="28"/>
          <w:szCs w:val="28"/>
        </w:rPr>
      </w:pPr>
    </w:p>
    <w:p w:rsidR="00DB066E" w:rsidRPr="001A2731" w:rsidRDefault="00DB066E" w:rsidP="00DB066E">
      <w:pPr>
        <w:spacing w:after="0" w:line="240" w:lineRule="auto"/>
        <w:jc w:val="both"/>
        <w:rPr>
          <w:rFonts w:ascii="Times New Roman" w:hAnsi="Times New Roman"/>
          <w:b/>
          <w:sz w:val="28"/>
          <w:szCs w:val="28"/>
        </w:rPr>
      </w:pPr>
      <w:r>
        <w:rPr>
          <w:rFonts w:ascii="Times New Roman" w:hAnsi="Times New Roman"/>
          <w:b/>
          <w:sz w:val="28"/>
          <w:szCs w:val="28"/>
        </w:rPr>
        <w:t>1.2.3. </w:t>
      </w:r>
      <w:r w:rsidRPr="001A2731">
        <w:rPr>
          <w:rFonts w:ascii="Times New Roman" w:hAnsi="Times New Roman"/>
          <w:b/>
          <w:sz w:val="28"/>
          <w:szCs w:val="28"/>
        </w:rPr>
        <w:t>Прямая причинно-следственная связь между нарушением и убытками.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Потерпевший должен доказать наличие причинно-следственной связи между возникшими убытками и противоправным действием – нарушением антимонопольного законодательства.</w:t>
      </w:r>
    </w:p>
    <w:p w:rsidR="00DB066E"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Наличие причинно-следственной связи является, вероятно, самым сложным элементом доказывания в делах о взыскании убытков. Зачастую суды отказывают в удовлетворении требований на том основании, что истец не доказал наличие причинно-следственной связи между на</w:t>
      </w:r>
      <w:r>
        <w:rPr>
          <w:rFonts w:ascii="Times New Roman" w:hAnsi="Times New Roman"/>
          <w:sz w:val="28"/>
          <w:szCs w:val="28"/>
        </w:rPr>
        <w:t>рушением и возникшими убытками.</w:t>
      </w:r>
    </w:p>
    <w:p w:rsidR="00DB066E" w:rsidRPr="004436FA" w:rsidRDefault="00DB066E" w:rsidP="00DB066E">
      <w:pPr>
        <w:spacing w:after="0" w:line="240" w:lineRule="auto"/>
        <w:ind w:firstLine="709"/>
        <w:jc w:val="both"/>
        <w:rPr>
          <w:rFonts w:ascii="Times New Roman" w:hAnsi="Times New Roman"/>
          <w:sz w:val="28"/>
          <w:szCs w:val="28"/>
        </w:rPr>
      </w:pPr>
      <w:r w:rsidRPr="00C12D06">
        <w:rPr>
          <w:rFonts w:ascii="Times New Roman" w:hAnsi="Times New Roman"/>
          <w:b/>
          <w:sz w:val="28"/>
          <w:szCs w:val="28"/>
        </w:rPr>
        <w:t>Пример</w:t>
      </w:r>
      <w:r w:rsidRPr="004436FA">
        <w:rPr>
          <w:rFonts w:ascii="Times New Roman" w:hAnsi="Times New Roman"/>
          <w:sz w:val="28"/>
          <w:szCs w:val="28"/>
        </w:rPr>
        <w:t xml:space="preserve">. Определение </w:t>
      </w:r>
      <w:r>
        <w:rPr>
          <w:rFonts w:ascii="Times New Roman" w:hAnsi="Times New Roman"/>
          <w:sz w:val="28"/>
          <w:szCs w:val="28"/>
        </w:rPr>
        <w:t>Высшего</w:t>
      </w:r>
      <w:r w:rsidRPr="004436FA">
        <w:rPr>
          <w:rFonts w:ascii="Times New Roman" w:hAnsi="Times New Roman"/>
          <w:sz w:val="28"/>
          <w:szCs w:val="28"/>
        </w:rPr>
        <w:t xml:space="preserve"> Арбитражн</w:t>
      </w:r>
      <w:r>
        <w:rPr>
          <w:rFonts w:ascii="Times New Roman" w:hAnsi="Times New Roman"/>
          <w:sz w:val="28"/>
          <w:szCs w:val="28"/>
        </w:rPr>
        <w:t>ого</w:t>
      </w:r>
      <w:r w:rsidRPr="004436FA">
        <w:rPr>
          <w:rFonts w:ascii="Times New Roman" w:hAnsi="Times New Roman"/>
          <w:sz w:val="28"/>
          <w:szCs w:val="28"/>
        </w:rPr>
        <w:t xml:space="preserve"> Суд</w:t>
      </w:r>
      <w:r>
        <w:rPr>
          <w:rFonts w:ascii="Times New Roman" w:hAnsi="Times New Roman"/>
          <w:sz w:val="28"/>
          <w:szCs w:val="28"/>
        </w:rPr>
        <w:t>а</w:t>
      </w:r>
      <w:r w:rsidRPr="004436FA">
        <w:rPr>
          <w:rFonts w:ascii="Times New Roman" w:hAnsi="Times New Roman"/>
          <w:sz w:val="28"/>
          <w:szCs w:val="28"/>
        </w:rPr>
        <w:t xml:space="preserve">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от </w:t>
      </w:r>
      <w:r>
        <w:rPr>
          <w:rFonts w:ascii="Times New Roman" w:hAnsi="Times New Roman"/>
          <w:sz w:val="28"/>
          <w:szCs w:val="28"/>
        </w:rPr>
        <w:t>08.04.2013</w:t>
      </w:r>
      <w:r w:rsidRPr="004436FA">
        <w:rPr>
          <w:rFonts w:ascii="Times New Roman" w:hAnsi="Times New Roman"/>
          <w:sz w:val="28"/>
          <w:szCs w:val="28"/>
        </w:rPr>
        <w:t xml:space="preserve"> по делу № А81</w:t>
      </w:r>
      <w:r w:rsidRPr="004436FA">
        <w:rPr>
          <w:rFonts w:ascii="Times New Roman" w:hAnsi="Times New Roman"/>
          <w:sz w:val="28"/>
          <w:szCs w:val="28"/>
        </w:rPr>
        <w:noBreakHyphen/>
        <w:t xml:space="preserve">2843/2011 о взыскании убытков, причиненных нарушениями при проведении конкурса </w:t>
      </w:r>
      <w:r>
        <w:rPr>
          <w:rFonts w:ascii="Times New Roman" w:hAnsi="Times New Roman"/>
          <w:sz w:val="28"/>
          <w:szCs w:val="28"/>
        </w:rPr>
        <w:t>в целях государственного заказа.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Суд указал, что между противоправным поведением одного лица и убытками, возникшими у другого лица, чье право нарушено, должна существовать прямая причинная связь, которая не была в данном случае доказана истцом.</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Согласно сложившейся судебной практике прямая (непосредственная) причинно-следственная связь существует тогда, когда в цепи последовательно развивающихся событий между противоправным поведением лица и убытками не существует каких-либо обстоятельств, имеющих значение для гражданско-правовой ответственности.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w:t>
      </w:r>
      <w:r w:rsidRPr="004436FA">
        <w:rPr>
          <w:rFonts w:ascii="Times New Roman" w:hAnsi="Times New Roman"/>
          <w:sz w:val="28"/>
          <w:szCs w:val="28"/>
        </w:rPr>
        <w:t xml:space="preserve">Постановление </w:t>
      </w:r>
      <w:r w:rsidRPr="004436FA">
        <w:rPr>
          <w:rFonts w:ascii="Times New Roman" w:hAnsi="Times New Roman"/>
          <w:bCs/>
          <w:sz w:val="28"/>
          <w:szCs w:val="28"/>
        </w:rPr>
        <w:t>Третьего арбитра</w:t>
      </w:r>
      <w:r>
        <w:rPr>
          <w:rFonts w:ascii="Times New Roman" w:hAnsi="Times New Roman"/>
          <w:bCs/>
          <w:sz w:val="28"/>
          <w:szCs w:val="28"/>
        </w:rPr>
        <w:t xml:space="preserve">жного апелляционного суда от 26.06.2014 </w:t>
      </w:r>
      <w:r w:rsidRPr="004436FA">
        <w:rPr>
          <w:rFonts w:ascii="Times New Roman" w:hAnsi="Times New Roman"/>
          <w:bCs/>
          <w:sz w:val="28"/>
          <w:szCs w:val="28"/>
        </w:rPr>
        <w:t xml:space="preserve">по делу № </w:t>
      </w:r>
      <w:r w:rsidRPr="004436FA">
        <w:rPr>
          <w:rFonts w:ascii="Times New Roman" w:hAnsi="Times New Roman"/>
          <w:sz w:val="28"/>
          <w:szCs w:val="28"/>
        </w:rPr>
        <w:t>А33-6497/2013 о взыскании убытков, причиненных нарушением органом государственной власти субъекта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пункта 2 части 1 статьи 15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w:t>
      </w:r>
      <w:r w:rsidRPr="004436FA">
        <w:rPr>
          <w:rFonts w:ascii="Times New Roman" w:hAnsi="Times New Roman"/>
          <w:bCs/>
          <w:sz w:val="28"/>
          <w:szCs w:val="28"/>
        </w:rPr>
        <w:t>необоснованное препятствование осуществлению деятельности хозяйствующими субъектами</w:t>
      </w:r>
      <w:r>
        <w:rPr>
          <w:rFonts w:ascii="Times New Roman" w:hAnsi="Times New Roman"/>
          <w:bCs/>
          <w:sz w:val="28"/>
          <w:szCs w:val="28"/>
        </w:rPr>
        <w:t>).</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Подтверждая  законность удовлетворения судом первой инстанции требования о взыскании почти 8 млн. руб. убытков, суд апелляционной инстанции отметил, что значение для данной категории споров имеет </w:t>
      </w:r>
      <w:r w:rsidRPr="004436FA">
        <w:rPr>
          <w:rFonts w:ascii="Times New Roman" w:hAnsi="Times New Roman"/>
          <w:bCs/>
          <w:sz w:val="28"/>
          <w:szCs w:val="28"/>
        </w:rPr>
        <w:t>только прямая (непосредственная) причинно-следственная связь между противоправным поведением ответчика и убытками истца. Прямая (непосредственная) причинно-следственная связь имеет место тогда, когда в цепи последовательно развивающихся событий между противоправным поведением лица и убытками не существует каких-либо обстоятельств, имеющих значение для гражданско-правовой ответственности.</w:t>
      </w:r>
    </w:p>
    <w:p w:rsidR="00DB066E" w:rsidRDefault="00DB066E" w:rsidP="00DB066E">
      <w:pPr>
        <w:spacing w:after="0" w:line="240" w:lineRule="auto"/>
        <w:ind w:firstLine="709"/>
        <w:jc w:val="both"/>
        <w:rPr>
          <w:rFonts w:ascii="Times New Roman" w:hAnsi="Times New Roman"/>
          <w:bCs/>
          <w:sz w:val="28"/>
          <w:szCs w:val="28"/>
        </w:rPr>
      </w:pPr>
      <w:r w:rsidRPr="004436FA">
        <w:rPr>
          <w:rFonts w:ascii="Times New Roman" w:hAnsi="Times New Roman"/>
          <w:bCs/>
          <w:sz w:val="28"/>
          <w:szCs w:val="28"/>
        </w:rPr>
        <w:t xml:space="preserve">Учитывая наличие в данном споре прямой причинно-следственной связи между действиями ответчика и понесенными истцом расходами, суд </w:t>
      </w:r>
      <w:r w:rsidRPr="004436FA">
        <w:rPr>
          <w:rFonts w:ascii="Times New Roman" w:hAnsi="Times New Roman"/>
          <w:bCs/>
          <w:sz w:val="28"/>
          <w:szCs w:val="28"/>
        </w:rPr>
        <w:lastRenderedPageBreak/>
        <w:t>апелляционной инстанции согласился с тем, что истец доказал существование обстоятельств, которые являются основанием для применения ответственности в виде взыскания убытков.</w:t>
      </w:r>
    </w:p>
    <w:p w:rsidR="00DB066E" w:rsidRPr="004436FA" w:rsidRDefault="00DB066E" w:rsidP="00DB066E">
      <w:pPr>
        <w:spacing w:after="0" w:line="240" w:lineRule="auto"/>
        <w:ind w:firstLine="709"/>
        <w:jc w:val="both"/>
        <w:rPr>
          <w:rFonts w:ascii="Times New Roman" w:hAnsi="Times New Roman"/>
          <w:bCs/>
          <w:sz w:val="28"/>
          <w:szCs w:val="28"/>
        </w:rPr>
      </w:pP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Cs/>
          <w:sz w:val="28"/>
          <w:szCs w:val="28"/>
        </w:rPr>
        <w:t>Аналогичные выводы о необходимости наличия именно прямой причинно-следственной связи между нарушением и убытками делаются судами при рассмотрении дел о взыскании убытков, вызванных правонарушениями, не относящимися к нарушениям законодательства</w:t>
      </w:r>
      <w:r>
        <w:rPr>
          <w:rFonts w:ascii="Times New Roman" w:hAnsi="Times New Roman"/>
          <w:bCs/>
          <w:sz w:val="28"/>
          <w:szCs w:val="28"/>
        </w:rPr>
        <w:t xml:space="preserve"> о защите конкуренции</w:t>
      </w:r>
      <w:r w:rsidRPr="004436FA">
        <w:rPr>
          <w:rFonts w:ascii="Times New Roman" w:hAnsi="Times New Roman"/>
          <w:bCs/>
          <w:sz w:val="28"/>
          <w:szCs w:val="28"/>
        </w:rPr>
        <w:t xml:space="preserve">  (п</w:t>
      </w:r>
      <w:r w:rsidRPr="004436FA">
        <w:rPr>
          <w:rFonts w:ascii="Times New Roman" w:hAnsi="Times New Roman"/>
          <w:sz w:val="28"/>
          <w:szCs w:val="28"/>
        </w:rPr>
        <w:t>остановления Арбитражног</w:t>
      </w:r>
      <w:r>
        <w:rPr>
          <w:rFonts w:ascii="Times New Roman" w:hAnsi="Times New Roman"/>
          <w:sz w:val="28"/>
          <w:szCs w:val="28"/>
        </w:rPr>
        <w:t>о суда Московского округа от 10.03.</w:t>
      </w:r>
      <w:r w:rsidRPr="004436FA">
        <w:rPr>
          <w:rFonts w:ascii="Times New Roman" w:hAnsi="Times New Roman"/>
          <w:sz w:val="28"/>
          <w:szCs w:val="28"/>
        </w:rPr>
        <w:t>2015 по делу № А40-32230/14, Арбитражного суд</w:t>
      </w:r>
      <w:r>
        <w:rPr>
          <w:rFonts w:ascii="Times New Roman" w:hAnsi="Times New Roman"/>
          <w:sz w:val="28"/>
          <w:szCs w:val="28"/>
        </w:rPr>
        <w:t>а Северо-Западного округа от 20.02.</w:t>
      </w:r>
      <w:r w:rsidRPr="004436FA">
        <w:rPr>
          <w:rFonts w:ascii="Times New Roman" w:hAnsi="Times New Roman"/>
          <w:sz w:val="28"/>
          <w:szCs w:val="28"/>
        </w:rPr>
        <w:t xml:space="preserve">2015 по делу № А56-66479/2013, Девятого арбитражного апелляционного суда от </w:t>
      </w:r>
      <w:r>
        <w:rPr>
          <w:rFonts w:ascii="Times New Roman" w:hAnsi="Times New Roman"/>
          <w:sz w:val="28"/>
          <w:szCs w:val="28"/>
        </w:rPr>
        <w:t>02.10.</w:t>
      </w:r>
      <w:r w:rsidRPr="004436FA">
        <w:rPr>
          <w:rFonts w:ascii="Times New Roman" w:hAnsi="Times New Roman"/>
          <w:sz w:val="28"/>
          <w:szCs w:val="28"/>
        </w:rPr>
        <w:t xml:space="preserve">2015 по делу № А40-3077/2015, Тринадцатого арбитражного апелляционного суда от </w:t>
      </w:r>
      <w:r>
        <w:rPr>
          <w:rFonts w:ascii="Times New Roman" w:hAnsi="Times New Roman"/>
          <w:sz w:val="28"/>
          <w:szCs w:val="28"/>
        </w:rPr>
        <w:t>09.10.</w:t>
      </w:r>
      <w:r w:rsidRPr="004436FA">
        <w:rPr>
          <w:rFonts w:ascii="Times New Roman" w:hAnsi="Times New Roman"/>
          <w:sz w:val="28"/>
          <w:szCs w:val="28"/>
        </w:rPr>
        <w:t>2015 по делу № А21-8279/2014 и др.).</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случае недоказанности прямой причинно-следственной связи между противоправным поведением ответчик</w:t>
      </w:r>
      <w:r>
        <w:rPr>
          <w:rFonts w:ascii="Times New Roman" w:hAnsi="Times New Roman"/>
          <w:sz w:val="28"/>
          <w:szCs w:val="28"/>
        </w:rPr>
        <w:t>а</w:t>
      </w:r>
      <w:r w:rsidRPr="004436FA">
        <w:rPr>
          <w:rFonts w:ascii="Times New Roman" w:hAnsi="Times New Roman"/>
          <w:sz w:val="28"/>
          <w:szCs w:val="28"/>
        </w:rPr>
        <w:t xml:space="preserve"> и убытками истца суды отказывают во взыскании убытков.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w:t>
      </w:r>
      <w:r w:rsidRPr="004436FA">
        <w:rPr>
          <w:rFonts w:ascii="Times New Roman" w:hAnsi="Times New Roman"/>
          <w:sz w:val="28"/>
          <w:szCs w:val="28"/>
        </w:rPr>
        <w:t xml:space="preserve"> Постановление Семнадцатого арбитр</w:t>
      </w:r>
      <w:r>
        <w:rPr>
          <w:rFonts w:ascii="Times New Roman" w:hAnsi="Times New Roman"/>
          <w:sz w:val="28"/>
          <w:szCs w:val="28"/>
        </w:rPr>
        <w:t>ажного апелляционного суда от 07.11.2012</w:t>
      </w:r>
      <w:r w:rsidRPr="004436FA">
        <w:rPr>
          <w:rFonts w:ascii="Times New Roman" w:hAnsi="Times New Roman"/>
          <w:sz w:val="28"/>
          <w:szCs w:val="28"/>
        </w:rPr>
        <w:t xml:space="preserve"> по делу № А50-9824/2012 о взыскании 209 962 руб. убытков, причиненных ответчиком в результате ак</w:t>
      </w:r>
      <w:r>
        <w:rPr>
          <w:rFonts w:ascii="Times New Roman" w:hAnsi="Times New Roman"/>
          <w:sz w:val="28"/>
          <w:szCs w:val="28"/>
        </w:rPr>
        <w:t>та недобросовестной конкуренции.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Судами обеих инстанций было отказано в удовлетворении исковых требований, при этом апелляционный суд указал, что требуя возмещения реального ущерба, лицо, право которого нарушено, обязано доказать прямую причинно-следственную связь между ущербом и действиями лица, нарушившего право, а также его вину.</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Суд апелляционной инстанции посчитал, что совокупность указанных условий истцом не доказана, в связи с чем заявленные им требования удовлетворению не подлежали.</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1A2731" w:rsidRDefault="00DB066E" w:rsidP="00DB066E">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1.3. </w:t>
      </w:r>
      <w:r w:rsidRPr="001A2731">
        <w:rPr>
          <w:rFonts w:ascii="Times New Roman" w:hAnsi="Times New Roman"/>
          <w:b/>
          <w:sz w:val="28"/>
          <w:szCs w:val="28"/>
        </w:rPr>
        <w:t>Определение размера убытков в судебной практике</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При определении размера убытков принципиальное значение имеют позиции</w:t>
      </w:r>
      <w:r>
        <w:rPr>
          <w:rFonts w:ascii="Times New Roman" w:hAnsi="Times New Roman"/>
          <w:sz w:val="28"/>
          <w:szCs w:val="28"/>
        </w:rPr>
        <w:t>, изложенные в пунктах 12 и 14 п</w:t>
      </w:r>
      <w:r w:rsidRPr="004436FA">
        <w:rPr>
          <w:rFonts w:ascii="Times New Roman" w:hAnsi="Times New Roman"/>
          <w:sz w:val="28"/>
          <w:szCs w:val="28"/>
        </w:rPr>
        <w:t>остановления П</w:t>
      </w:r>
      <w:r>
        <w:rPr>
          <w:rFonts w:ascii="Times New Roman" w:hAnsi="Times New Roman"/>
          <w:sz w:val="28"/>
          <w:szCs w:val="28"/>
        </w:rPr>
        <w:t>ленума Верховного Суда РФ от 23.06.2015</w:t>
      </w:r>
      <w:r w:rsidRPr="004436FA">
        <w:rPr>
          <w:rFonts w:ascii="Times New Roman" w:hAnsi="Times New Roman"/>
          <w:sz w:val="28"/>
          <w:szCs w:val="28"/>
        </w:rPr>
        <w:t xml:space="preserve"> № 25:</w:t>
      </w:r>
    </w:p>
    <w:p w:rsidR="00DB066E" w:rsidRPr="002D7106" w:rsidRDefault="00DB066E" w:rsidP="00DB066E">
      <w:pPr>
        <w:spacing w:after="0" w:line="240" w:lineRule="auto"/>
        <w:ind w:firstLine="709"/>
        <w:jc w:val="both"/>
        <w:rPr>
          <w:rFonts w:ascii="Times New Roman" w:hAnsi="Times New Roman"/>
          <w:sz w:val="28"/>
          <w:szCs w:val="28"/>
        </w:rPr>
      </w:pPr>
      <w:r w:rsidRPr="002D7106">
        <w:rPr>
          <w:rFonts w:ascii="Times New Roman" w:hAnsi="Times New Roman"/>
          <w:sz w:val="28"/>
          <w:szCs w:val="28"/>
        </w:rPr>
        <w:t>«12. Размер подлежащих возмещению убытков должен быть установлен с разумной степенью достоверности. По смыслу пункта 1 статьи 15 ГК РФ в удовлетворении требования о возмещении убытков не может быть отказано только на том основании, что их точный размер невозможно установить. В</w:t>
      </w:r>
      <w:r w:rsidRPr="002D7106">
        <w:rPr>
          <w:rFonts w:ascii="Times New Roman" w:hAnsi="Times New Roman"/>
          <w:sz w:val="28"/>
          <w:szCs w:val="28"/>
          <w:lang w:val="en-US"/>
        </w:rPr>
        <w:t> </w:t>
      </w:r>
      <w:r w:rsidRPr="002D7106">
        <w:rPr>
          <w:rFonts w:ascii="Times New Roman" w:hAnsi="Times New Roman"/>
          <w:sz w:val="28"/>
          <w:szCs w:val="28"/>
        </w:rPr>
        <w:t>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p>
    <w:p w:rsidR="00DB066E" w:rsidRPr="002D7106" w:rsidRDefault="00DB066E" w:rsidP="00DB066E">
      <w:pPr>
        <w:spacing w:after="0" w:line="240" w:lineRule="auto"/>
        <w:ind w:firstLine="709"/>
        <w:jc w:val="both"/>
        <w:rPr>
          <w:rFonts w:ascii="Times New Roman" w:hAnsi="Times New Roman"/>
          <w:sz w:val="28"/>
          <w:szCs w:val="28"/>
        </w:rPr>
      </w:pPr>
      <w:r w:rsidRPr="002D7106">
        <w:rPr>
          <w:rFonts w:ascii="Times New Roman" w:hAnsi="Times New Roman"/>
          <w:sz w:val="28"/>
          <w:szCs w:val="28"/>
        </w:rPr>
        <w:t xml:space="preserve">«14. По смыслу статьи 15 ГК РФ, упущенной выгодой является неполученный доход, на который увеличилась бы имущественная масса </w:t>
      </w:r>
      <w:r w:rsidRPr="002D7106">
        <w:rPr>
          <w:rFonts w:ascii="Times New Roman" w:hAnsi="Times New Roman"/>
          <w:sz w:val="28"/>
          <w:szCs w:val="28"/>
        </w:rPr>
        <w:lastRenderedPageBreak/>
        <w:t>лица, право которого нарушено, если бы нарушения не было. Поскольку упущенная выгода представляет собой неполученный доход, при разрешении споров, связанных с ее возмещением, следует принимать во внимание, что ее расчет, представленный истцом, как правило, является приблизительным и носит вероятностный характер. Это обстоятельство само по себе не может служить основанием для отказа в иске».</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настоящее время аналогичное правило закреплено в пункте 5 статьи 393 ГК РФ применительно к убыткам за нарушение обязательств. Согласно указанной норме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DB066E" w:rsidRPr="001A2731" w:rsidRDefault="00DB066E" w:rsidP="00DB066E">
      <w:pPr>
        <w:spacing w:after="0" w:line="240" w:lineRule="auto"/>
        <w:ind w:firstLine="709"/>
        <w:jc w:val="both"/>
        <w:rPr>
          <w:rFonts w:ascii="Times New Roman" w:hAnsi="Times New Roman"/>
          <w:sz w:val="28"/>
          <w:szCs w:val="28"/>
        </w:rPr>
      </w:pPr>
      <w:r w:rsidRPr="001A2731">
        <w:rPr>
          <w:rFonts w:ascii="Times New Roman" w:hAnsi="Times New Roman"/>
          <w:sz w:val="28"/>
          <w:szCs w:val="28"/>
        </w:rPr>
        <w:t>Таким образом, можно констатировать, что и законодатель, и Верховный Суд РФ сформулировали подход, уточняющий предмет доказывания в спорах о взыскании убытков относительно ранее существовавшей практики.</w:t>
      </w:r>
    </w:p>
    <w:p w:rsidR="00DB066E" w:rsidRPr="001A2731" w:rsidRDefault="00DB066E" w:rsidP="00DB066E">
      <w:pPr>
        <w:spacing w:after="0" w:line="240" w:lineRule="auto"/>
        <w:ind w:firstLine="709"/>
        <w:jc w:val="both"/>
        <w:rPr>
          <w:rFonts w:ascii="Times New Roman" w:hAnsi="Times New Roman"/>
          <w:sz w:val="28"/>
          <w:szCs w:val="28"/>
        </w:rPr>
      </w:pPr>
      <w:r w:rsidRPr="001A2731">
        <w:rPr>
          <w:rFonts w:ascii="Times New Roman" w:hAnsi="Times New Roman"/>
          <w:sz w:val="28"/>
          <w:szCs w:val="28"/>
        </w:rPr>
        <w:t xml:space="preserve">Исходя из изложенной ранее позиции Верховного Суда РФ, а также его позиции, содержащейся в пункте 5 постановления Пленума Верховного Суда РФ от 24.03.2016 № 7, необходимо доказывание истцом не только размера убытков, но, как минимум, таких оснований требования о возмещении убытков, как факт возникновения убытков и причинно-следственная связь между противоправным поведением и заявленными убытками. </w:t>
      </w:r>
    </w:p>
    <w:p w:rsidR="00DB066E" w:rsidRPr="004436FA" w:rsidRDefault="00DB066E" w:rsidP="00DB066E">
      <w:pPr>
        <w:spacing w:after="0" w:line="240" w:lineRule="auto"/>
        <w:ind w:firstLine="709"/>
        <w:jc w:val="both"/>
        <w:rPr>
          <w:rFonts w:ascii="Times New Roman" w:hAnsi="Times New Roman"/>
          <w:sz w:val="28"/>
          <w:szCs w:val="28"/>
        </w:rPr>
      </w:pPr>
      <w:r w:rsidRPr="001A2731">
        <w:rPr>
          <w:rFonts w:ascii="Times New Roman" w:hAnsi="Times New Roman"/>
          <w:sz w:val="28"/>
          <w:szCs w:val="28"/>
        </w:rPr>
        <w:t>Данная позиция разделяется практикой арбитражных судов.</w:t>
      </w:r>
      <w:r w:rsidRPr="004436FA">
        <w:rPr>
          <w:rFonts w:ascii="Times New Roman" w:hAnsi="Times New Roman"/>
          <w:sz w:val="28"/>
          <w:szCs w:val="28"/>
        </w:rPr>
        <w:t xml:space="preserve"> </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w:t>
      </w:r>
      <w:r w:rsidRPr="004436FA">
        <w:rPr>
          <w:rFonts w:ascii="Times New Roman" w:hAnsi="Times New Roman"/>
          <w:sz w:val="28"/>
          <w:szCs w:val="28"/>
        </w:rPr>
        <w:t xml:space="preserve">Постановление Суда по интеллектуальным правам от </w:t>
      </w:r>
      <w:r>
        <w:rPr>
          <w:rFonts w:ascii="Times New Roman" w:hAnsi="Times New Roman"/>
          <w:sz w:val="28"/>
          <w:szCs w:val="28"/>
        </w:rPr>
        <w:t>08.08.2014</w:t>
      </w:r>
      <w:r w:rsidRPr="004436FA">
        <w:rPr>
          <w:rFonts w:ascii="Times New Roman" w:hAnsi="Times New Roman"/>
          <w:sz w:val="28"/>
          <w:szCs w:val="28"/>
        </w:rPr>
        <w:t xml:space="preserve"> № С01-753/2014 по делу № А56-23056/2013 о взыскании убытков, причиненных</w:t>
      </w:r>
      <w:r>
        <w:rPr>
          <w:rFonts w:ascii="Times New Roman" w:hAnsi="Times New Roman"/>
          <w:sz w:val="28"/>
          <w:szCs w:val="28"/>
        </w:rPr>
        <w:t>,</w:t>
      </w:r>
      <w:r w:rsidRPr="004436FA">
        <w:rPr>
          <w:rFonts w:ascii="Times New Roman" w:hAnsi="Times New Roman"/>
          <w:sz w:val="28"/>
          <w:szCs w:val="28"/>
        </w:rPr>
        <w:t xml:space="preserve"> в том числе нарушением ответчиком части 2 статьи 14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
    <w:p w:rsidR="00DB066E"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Отменяя постановление суда апелляционной инстанции об отказе в иске в связи с недоказанностью размера убытков, Суд по интеллектуальным правам указал, что невозможность обосновать точный размер упущенной выгоды (который в любом случае в силу объективных причин можно просчитать с той или иной степенью вероятности), не может служить препятствием для восстановления нарушенного права в ситуации, когда остальные составляющие всей совокупности обстоятельств, являющиеся основанием для привлечения ответчика к гражданско-правовой ответственности в виде взыскания убы</w:t>
      </w:r>
      <w:r>
        <w:rPr>
          <w:rFonts w:ascii="Times New Roman" w:hAnsi="Times New Roman"/>
          <w:sz w:val="28"/>
          <w:szCs w:val="28"/>
        </w:rPr>
        <w:t>тков, являются подтвержденными.</w:t>
      </w:r>
    </w:p>
    <w:p w:rsidR="00DB066E" w:rsidRPr="004436FA" w:rsidRDefault="00DB066E" w:rsidP="00DB066E">
      <w:pPr>
        <w:spacing w:after="0" w:line="240" w:lineRule="auto"/>
        <w:ind w:firstLine="709"/>
        <w:jc w:val="both"/>
        <w:rPr>
          <w:rFonts w:ascii="Times New Roman" w:hAnsi="Times New Roman"/>
          <w:sz w:val="28"/>
          <w:szCs w:val="28"/>
        </w:rPr>
      </w:pP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lastRenderedPageBreak/>
        <w:t>При рассмотрении конкретных споров арбитражные суды взыскивают убытки от нарушений антимонопольного законодательства, определяя размер убытков следующим образом:</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b/>
          <w:sz w:val="28"/>
          <w:szCs w:val="28"/>
        </w:rPr>
        <w:t xml:space="preserve">Пример 1. </w:t>
      </w:r>
      <w:r w:rsidRPr="004436FA">
        <w:rPr>
          <w:rFonts w:ascii="Times New Roman" w:hAnsi="Times New Roman"/>
          <w:sz w:val="28"/>
          <w:szCs w:val="28"/>
        </w:rPr>
        <w:t>При повторном рассмотрении упомянутого выше дела № А56-23056/2013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w:t>
      </w:r>
      <w:r w:rsidRPr="004436FA">
        <w:rPr>
          <w:rFonts w:ascii="Times New Roman" w:hAnsi="Times New Roman"/>
          <w:sz w:val="28"/>
          <w:szCs w:val="28"/>
          <w:lang w:val="en-US"/>
        </w:rPr>
        <w:t> </w:t>
      </w:r>
      <w:r w:rsidRPr="004436FA">
        <w:rPr>
          <w:rFonts w:ascii="Times New Roman" w:hAnsi="Times New Roman"/>
          <w:sz w:val="28"/>
          <w:szCs w:val="28"/>
        </w:rPr>
        <w:t>млрд.</w:t>
      </w:r>
      <w:r w:rsidRPr="004436FA">
        <w:rPr>
          <w:rFonts w:ascii="Times New Roman" w:hAnsi="Times New Roman"/>
          <w:sz w:val="28"/>
          <w:szCs w:val="28"/>
          <w:lang w:val="en-US"/>
        </w:rPr>
        <w:t> </w:t>
      </w:r>
      <w:r w:rsidRPr="004436FA">
        <w:rPr>
          <w:rFonts w:ascii="Times New Roman" w:hAnsi="Times New Roman"/>
          <w:sz w:val="28"/>
          <w:szCs w:val="28"/>
        </w:rPr>
        <w:t>руб. убытков в виде упущенной выгоды (решение Арбитражного суда города Санкт-Петербурга и Ленинградской области от 16</w:t>
      </w:r>
      <w:r>
        <w:rPr>
          <w:rFonts w:ascii="Times New Roman" w:hAnsi="Times New Roman"/>
          <w:sz w:val="28"/>
          <w:szCs w:val="28"/>
        </w:rPr>
        <w:t>.04.2015</w:t>
      </w:r>
      <w:r w:rsidRPr="004436FA">
        <w:rPr>
          <w:rFonts w:ascii="Times New Roman" w:hAnsi="Times New Roman"/>
          <w:sz w:val="28"/>
          <w:szCs w:val="28"/>
        </w:rPr>
        <w:t>, оставленное без изменения судами апелляционной и кассационной инстанций).</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В итоге расчет убытков в данном деле выглядел следующим образом:</w:t>
      </w:r>
    </w:p>
    <w:p w:rsidR="00DB066E" w:rsidRPr="00C80127" w:rsidRDefault="00DB066E" w:rsidP="00DB066E">
      <w:pPr>
        <w:spacing w:after="0" w:line="240" w:lineRule="auto"/>
        <w:ind w:firstLine="1276"/>
        <w:jc w:val="both"/>
        <w:rPr>
          <w:rFonts w:ascii="Times New Roman" w:hAnsi="Times New Roman"/>
          <w:sz w:val="28"/>
          <w:szCs w:val="28"/>
        </w:rPr>
      </w:pPr>
      <w:r w:rsidRPr="00C80127">
        <w:rPr>
          <w:rFonts w:ascii="Times New Roman" w:hAnsi="Times New Roman"/>
          <w:sz w:val="28"/>
          <w:szCs w:val="28"/>
        </w:rPr>
        <w:t>2 089 586 523 руб. 70 коп. - 427 482 013 руб. 80 коп. = 1 662 104 509 руб. 90 коп.</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2. </w:t>
      </w:r>
      <w:r w:rsidRPr="004436FA">
        <w:rPr>
          <w:rFonts w:ascii="Times New Roman" w:hAnsi="Times New Roman"/>
          <w:sz w:val="28"/>
          <w:szCs w:val="28"/>
        </w:rPr>
        <w:t xml:space="preserve">Решение Арбитражного суда </w:t>
      </w:r>
      <w:r>
        <w:rPr>
          <w:rFonts w:ascii="Times New Roman" w:hAnsi="Times New Roman"/>
          <w:sz w:val="28"/>
          <w:szCs w:val="28"/>
        </w:rPr>
        <w:t>г.</w:t>
      </w:r>
      <w:r w:rsidRPr="004436FA">
        <w:rPr>
          <w:rFonts w:ascii="Times New Roman" w:hAnsi="Times New Roman"/>
          <w:sz w:val="28"/>
          <w:szCs w:val="28"/>
        </w:rPr>
        <w:t xml:space="preserve"> Москвы от </w:t>
      </w:r>
      <w:r>
        <w:rPr>
          <w:rFonts w:ascii="Times New Roman" w:hAnsi="Times New Roman"/>
          <w:sz w:val="28"/>
          <w:szCs w:val="28"/>
        </w:rPr>
        <w:t>12.07.2010</w:t>
      </w:r>
      <w:r w:rsidRPr="004436FA">
        <w:rPr>
          <w:rFonts w:ascii="Times New Roman" w:hAnsi="Times New Roman"/>
          <w:sz w:val="28"/>
          <w:szCs w:val="28"/>
        </w:rPr>
        <w:t xml:space="preserve"> по упоминавшемуся ранее делу № А40-46424/2010, которым в пользу истца было взыскано более 1,14 млрд. руб. убытков</w:t>
      </w:r>
      <w:r>
        <w:rPr>
          <w:rFonts w:ascii="Times New Roman" w:hAnsi="Times New Roman"/>
          <w:sz w:val="28"/>
          <w:szCs w:val="28"/>
        </w:rPr>
        <w:t>.</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Ответчик, занимая доминирующее положение</w:t>
      </w:r>
      <w:r>
        <w:rPr>
          <w:rFonts w:ascii="Times New Roman" w:hAnsi="Times New Roman"/>
          <w:sz w:val="28"/>
          <w:szCs w:val="28"/>
        </w:rPr>
        <w:t xml:space="preserve"> на товарном рынке</w:t>
      </w:r>
      <w:r w:rsidRPr="004436FA">
        <w:rPr>
          <w:rFonts w:ascii="Times New Roman" w:hAnsi="Times New Roman"/>
          <w:sz w:val="28"/>
          <w:szCs w:val="28"/>
        </w:rPr>
        <w:t>, необоснованно установил для истц</w:t>
      </w:r>
      <w:r>
        <w:rPr>
          <w:rFonts w:ascii="Times New Roman" w:hAnsi="Times New Roman"/>
          <w:sz w:val="28"/>
          <w:szCs w:val="28"/>
        </w:rPr>
        <w:t>а цену на апатитовый концентрат</w:t>
      </w:r>
      <w:r w:rsidRPr="004436FA">
        <w:rPr>
          <w:rFonts w:ascii="Times New Roman" w:hAnsi="Times New Roman"/>
          <w:sz w:val="28"/>
          <w:szCs w:val="28"/>
        </w:rPr>
        <w:t xml:space="preserve"> более высокую, чем для других потребителей.</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Доказательств обоснованности установленной цены ответчик не представил, в связи с чем суд пришел к выводу о нарушении ответчиком пункта 6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 результате указанных неправомерных действий истец был вынужден приобретать апатитовый концентрат у ответчика по более высокой цене, чем </w:t>
      </w:r>
      <w:r w:rsidRPr="004436FA">
        <w:rPr>
          <w:rFonts w:ascii="Times New Roman" w:hAnsi="Times New Roman"/>
          <w:sz w:val="28"/>
          <w:szCs w:val="28"/>
        </w:rPr>
        <w:lastRenderedPageBreak/>
        <w:t>другие российские потребители, что причинило ему убытки в виде реального ущерба.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Руководствуясь частью 2 статьи 15 ГК РФ, суд определил убытки истца как разницу между ценой, оплаченной истцом по договору, и ценой апатитового концентрата, указанной ФАС России как обоснованной. </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Согласно решению суда размер указанной разницы сост</w:t>
      </w:r>
      <w:r>
        <w:rPr>
          <w:rFonts w:ascii="Times New Roman" w:hAnsi="Times New Roman"/>
          <w:sz w:val="28"/>
          <w:szCs w:val="28"/>
        </w:rPr>
        <w:t>авил 1 141 085 606 руб. 15 коп.</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3. </w:t>
      </w:r>
      <w:r w:rsidRPr="004436FA">
        <w:rPr>
          <w:rFonts w:ascii="Times New Roman" w:hAnsi="Times New Roman"/>
          <w:sz w:val="28"/>
          <w:szCs w:val="28"/>
        </w:rPr>
        <w:t>В рамках дела № А40-135137/2012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w:t>
      </w:r>
      <w:r>
        <w:rPr>
          <w:rFonts w:ascii="Times New Roman" w:hAnsi="Times New Roman"/>
          <w:sz w:val="28"/>
          <w:szCs w:val="28"/>
        </w:rPr>
        <w:t>ы отключения теплоснабжения.</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Однако после начала отопительного сезона ответчик уведомил истца о расторжении договора. Одновременно ответчик предложил истцу </w:t>
      </w:r>
      <w:r>
        <w:rPr>
          <w:rFonts w:ascii="Times New Roman" w:hAnsi="Times New Roman"/>
          <w:sz w:val="28"/>
          <w:szCs w:val="28"/>
        </w:rPr>
        <w:t>возобновить договорные отношения</w:t>
      </w:r>
      <w:r w:rsidRPr="004436FA">
        <w:rPr>
          <w:rFonts w:ascii="Times New Roman" w:hAnsi="Times New Roman"/>
          <w:sz w:val="28"/>
          <w:szCs w:val="28"/>
        </w:rPr>
        <w:t xml:space="preserve"> при условии увеличения тарифов и внесения истцом предоплаты в размере 10 млн. рублей.</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Решением антимонопольного органа и актами арбитражных судов действия ответчика был признаны нарушающими подпункты 3 и 10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 навязывание невыгодных условий договора и нарушение установленного порядка ценообразования.</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w:t>
      </w:r>
      <w:r w:rsidRPr="004436FA">
        <w:rPr>
          <w:rFonts w:ascii="Times New Roman" w:hAnsi="Times New Roman"/>
          <w:sz w:val="28"/>
          <w:szCs w:val="28"/>
          <w:lang w:val="en-US"/>
        </w:rPr>
        <w:t> </w:t>
      </w:r>
      <w:r w:rsidRPr="004436FA">
        <w:rPr>
          <w:rFonts w:ascii="Times New Roman" w:hAnsi="Times New Roman"/>
          <w:sz w:val="28"/>
          <w:szCs w:val="28"/>
        </w:rPr>
        <w:t>также заключить договор на строительно-монтажные работы системы отопления. Общая стоимость оборудования и строительно-монтажных работ составила 9 966</w:t>
      </w:r>
      <w:r w:rsidRPr="004436FA">
        <w:rPr>
          <w:rFonts w:ascii="Times New Roman" w:hAnsi="Times New Roman"/>
          <w:sz w:val="28"/>
          <w:szCs w:val="28"/>
          <w:lang w:val="en-US"/>
        </w:rPr>
        <w:t> </w:t>
      </w:r>
      <w:r w:rsidRPr="004436FA">
        <w:rPr>
          <w:rFonts w:ascii="Times New Roman" w:hAnsi="Times New Roman"/>
          <w:sz w:val="28"/>
          <w:szCs w:val="28"/>
        </w:rPr>
        <w:t>460 руб. Данная сумм</w:t>
      </w:r>
      <w:r>
        <w:rPr>
          <w:rFonts w:ascii="Times New Roman" w:hAnsi="Times New Roman"/>
          <w:sz w:val="28"/>
          <w:szCs w:val="28"/>
        </w:rPr>
        <w:t>а была признана убытками истца.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4. </w:t>
      </w:r>
      <w:r w:rsidRPr="004436FA">
        <w:rPr>
          <w:rFonts w:ascii="Times New Roman" w:hAnsi="Times New Roman"/>
          <w:sz w:val="28"/>
          <w:szCs w:val="28"/>
        </w:rPr>
        <w:t xml:space="preserve">Постановлением Девятого арбитражного апелляционного суда от </w:t>
      </w:r>
      <w:r>
        <w:rPr>
          <w:rFonts w:ascii="Times New Roman" w:hAnsi="Times New Roman"/>
          <w:sz w:val="28"/>
          <w:szCs w:val="28"/>
        </w:rPr>
        <w:t>01.04.2015</w:t>
      </w:r>
      <w:r w:rsidRPr="004436FA">
        <w:rPr>
          <w:rFonts w:ascii="Times New Roman" w:hAnsi="Times New Roman"/>
          <w:sz w:val="28"/>
          <w:szCs w:val="28"/>
        </w:rPr>
        <w:t xml:space="preserve"> по делу № А40-133312/2014 было взыскано 429 850 руб. убытков, причиненных неправомерным включением в текст договора и технических условий поло</w:t>
      </w:r>
      <w:r>
        <w:rPr>
          <w:rFonts w:ascii="Times New Roman" w:hAnsi="Times New Roman"/>
          <w:sz w:val="28"/>
          <w:szCs w:val="28"/>
        </w:rPr>
        <w:t>жений, ущемляющих права истца.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Ответчик, пользуясь своим доминирующим положением</w:t>
      </w:r>
      <w:r>
        <w:rPr>
          <w:rFonts w:ascii="Times New Roman" w:hAnsi="Times New Roman"/>
          <w:sz w:val="28"/>
          <w:szCs w:val="28"/>
        </w:rPr>
        <w:t xml:space="preserve"> на товарном рынке</w:t>
      </w:r>
      <w:r w:rsidRPr="004436FA">
        <w:rPr>
          <w:rFonts w:ascii="Times New Roman" w:hAnsi="Times New Roman"/>
          <w:sz w:val="28"/>
          <w:szCs w:val="28"/>
        </w:rPr>
        <w:t>, в нарушение требований законодательства прописал в договоре технологического присоединения положение, возлагающее на истца обязанность по прокладке кабельной линии, а также обязанность по урегулированию отношений с третьими лицами, через участки которых должна была пройти эта кабельная линия.</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По сути, ответчик вопреки требованиям законодательства обязывал истца выполнить проектирование и прокладку кабельной линии вместо сетевой организации.</w:t>
      </w:r>
    </w:p>
    <w:p w:rsidR="00DB066E" w:rsidRPr="00C12D06"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Убытки истца были рассчитаны судом как расходы по договору на выполнение работ по архитектурно-строительному проектированию </w:t>
      </w:r>
      <w:r w:rsidRPr="004436FA">
        <w:rPr>
          <w:rFonts w:ascii="Times New Roman" w:hAnsi="Times New Roman"/>
          <w:sz w:val="28"/>
          <w:szCs w:val="28"/>
        </w:rPr>
        <w:lastRenderedPageBreak/>
        <w:t>кабельной линии, которые были фактически понесены истцом в результате исполнения противозаконно навязанных ответчиком условий договора</w:t>
      </w:r>
      <w:r w:rsidRPr="00C12D06">
        <w:rPr>
          <w:rFonts w:ascii="Times New Roman" w:hAnsi="Times New Roman"/>
          <w:sz w:val="28"/>
          <w:szCs w:val="28"/>
        </w:rPr>
        <w:t>.</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5. </w:t>
      </w:r>
      <w:r w:rsidRPr="004436FA">
        <w:rPr>
          <w:rFonts w:ascii="Times New Roman" w:hAnsi="Times New Roman"/>
          <w:sz w:val="28"/>
          <w:szCs w:val="28"/>
        </w:rPr>
        <w:t>В рамках упомянутого ранее дела № А40-143297/2012 в пользу истца было взыскано 579 278 руб. убытков, причиненных нарушением пункта 4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которое выразилось в установлении требований по загрузке железнодорожных вагонов то</w:t>
      </w:r>
      <w:r>
        <w:rPr>
          <w:rFonts w:ascii="Times New Roman" w:hAnsi="Times New Roman"/>
          <w:sz w:val="28"/>
          <w:szCs w:val="28"/>
        </w:rPr>
        <w:t>лько определенным видом товаров.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августе и сентябре 2010 г. истец в установленный срок направил ответчику электронные заявки на перевозку своих грузов вагонами, относящимися к парку ответчика.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Далее ответчик уведомил истца о введении запрета на подачу и погрузку в вагоны инвентарного парка любой другой номенклатуры груза, кроме угля для нужд ЖКХ и в адрес энергетических предприятий.</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итоге в августе и сентябре 2010 г. ответчиком не были предоставлены вагоны, необходимые истцу для перевозки грузов.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Данные действия ответчика были признаны ФАС России злоупотреблением доминирующим положением</w:t>
      </w:r>
      <w:r>
        <w:rPr>
          <w:rFonts w:ascii="Times New Roman" w:hAnsi="Times New Roman"/>
          <w:sz w:val="28"/>
          <w:szCs w:val="28"/>
        </w:rPr>
        <w:t xml:space="preserve"> на товарном рынке.</w:t>
      </w:r>
    </w:p>
    <w:p w:rsidR="00DB066E" w:rsidRPr="00C12D06"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Убытки истца были определены как расходы, которые он пон</w:t>
      </w:r>
      <w:r>
        <w:rPr>
          <w:rFonts w:ascii="Times New Roman" w:hAnsi="Times New Roman"/>
          <w:sz w:val="28"/>
          <w:szCs w:val="28"/>
        </w:rPr>
        <w:t>е</w:t>
      </w:r>
      <w:r w:rsidRPr="004436FA">
        <w:rPr>
          <w:rFonts w:ascii="Times New Roman" w:hAnsi="Times New Roman"/>
          <w:sz w:val="28"/>
          <w:szCs w:val="28"/>
        </w:rPr>
        <w:t xml:space="preserve">с в результате поиска иных контрагентов, способных предоставить вагоны для перевозки, и в результате переоформления заявок на перевозку грузов. Такой расчет был признан судом верным, требования </w:t>
      </w:r>
      <w:r>
        <w:rPr>
          <w:rFonts w:ascii="Times New Roman" w:hAnsi="Times New Roman"/>
          <w:sz w:val="28"/>
          <w:szCs w:val="28"/>
        </w:rPr>
        <w:t>были удовлетворены в полном объе</w:t>
      </w:r>
      <w:r w:rsidRPr="004436FA">
        <w:rPr>
          <w:rFonts w:ascii="Times New Roman" w:hAnsi="Times New Roman"/>
          <w:sz w:val="28"/>
          <w:szCs w:val="28"/>
        </w:rPr>
        <w:t>ме.</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6. </w:t>
      </w:r>
      <w:r w:rsidRPr="004436FA">
        <w:rPr>
          <w:rFonts w:ascii="Times New Roman" w:hAnsi="Times New Roman"/>
          <w:bCs/>
          <w:sz w:val="28"/>
          <w:szCs w:val="28"/>
        </w:rPr>
        <w:t xml:space="preserve">Постановление Президиума Высшего Арбитражного Суда </w:t>
      </w:r>
      <w:r w:rsidRPr="004436FA">
        <w:rPr>
          <w:rFonts w:ascii="Times New Roman" w:hAnsi="Times New Roman"/>
          <w:sz w:val="28"/>
          <w:szCs w:val="28"/>
        </w:rPr>
        <w:t>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w:t>
      </w:r>
      <w:r w:rsidRPr="004436FA">
        <w:rPr>
          <w:rFonts w:ascii="Times New Roman" w:hAnsi="Times New Roman"/>
          <w:bCs/>
          <w:sz w:val="28"/>
          <w:szCs w:val="28"/>
        </w:rPr>
        <w:t xml:space="preserve">от </w:t>
      </w:r>
      <w:r>
        <w:rPr>
          <w:rFonts w:ascii="Times New Roman" w:hAnsi="Times New Roman"/>
          <w:bCs/>
          <w:sz w:val="28"/>
          <w:szCs w:val="28"/>
        </w:rPr>
        <w:t>02.02.2010</w:t>
      </w:r>
      <w:r w:rsidRPr="004436FA">
        <w:rPr>
          <w:rFonts w:ascii="Times New Roman" w:hAnsi="Times New Roman"/>
          <w:bCs/>
          <w:sz w:val="28"/>
          <w:szCs w:val="28"/>
        </w:rPr>
        <w:t xml:space="preserve"> № 4158/09 по делу № </w:t>
      </w:r>
      <w:r>
        <w:rPr>
          <w:rFonts w:ascii="Times New Roman" w:hAnsi="Times New Roman"/>
          <w:sz w:val="28"/>
          <w:szCs w:val="28"/>
        </w:rPr>
        <w:t>А40-64377/08-77-496.</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данном споре Высший Арбитражный Суд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признал правомерным взыскание в качестве убытков разницы между экономически обоснованной ценой товара и ценой, завышенной доминирующим субъектом (необходимо отметить, что отменными Президиумом Высш</w:t>
      </w:r>
      <w:r>
        <w:rPr>
          <w:rFonts w:ascii="Times New Roman" w:hAnsi="Times New Roman"/>
          <w:sz w:val="28"/>
          <w:szCs w:val="28"/>
        </w:rPr>
        <w:t>его</w:t>
      </w:r>
      <w:r w:rsidRPr="004436FA">
        <w:rPr>
          <w:rFonts w:ascii="Times New Roman" w:hAnsi="Times New Roman"/>
          <w:sz w:val="28"/>
          <w:szCs w:val="28"/>
        </w:rPr>
        <w:t xml:space="preserve"> Арбитражн</w:t>
      </w:r>
      <w:r>
        <w:rPr>
          <w:rFonts w:ascii="Times New Roman" w:hAnsi="Times New Roman"/>
          <w:sz w:val="28"/>
          <w:szCs w:val="28"/>
        </w:rPr>
        <w:t>ого</w:t>
      </w:r>
      <w:r w:rsidRPr="004436FA">
        <w:rPr>
          <w:rFonts w:ascii="Times New Roman" w:hAnsi="Times New Roman"/>
          <w:sz w:val="28"/>
          <w:szCs w:val="28"/>
        </w:rPr>
        <w:t xml:space="preserve"> Суд</w:t>
      </w:r>
      <w:r>
        <w:rPr>
          <w:rFonts w:ascii="Times New Roman" w:hAnsi="Times New Roman"/>
          <w:sz w:val="28"/>
          <w:szCs w:val="28"/>
        </w:rPr>
        <w:t>а</w:t>
      </w:r>
      <w:r w:rsidRPr="004436FA">
        <w:rPr>
          <w:rFonts w:ascii="Times New Roman" w:hAnsi="Times New Roman"/>
          <w:sz w:val="28"/>
          <w:szCs w:val="28"/>
        </w:rPr>
        <w:t xml:space="preserve">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актами нижестоящих судов взысканная в пользу истца разница была определена в размере немногим менее 2 млрд. руб.).</w:t>
      </w:r>
    </w:p>
    <w:p w:rsidR="00DB066E" w:rsidRPr="004436FA" w:rsidRDefault="00DB066E" w:rsidP="00DB066E">
      <w:pPr>
        <w:spacing w:after="0" w:line="240" w:lineRule="auto"/>
        <w:ind w:firstLine="709"/>
        <w:jc w:val="both"/>
        <w:rPr>
          <w:rFonts w:ascii="Times New Roman" w:hAnsi="Times New Roman"/>
          <w:b/>
          <w:sz w:val="28"/>
          <w:szCs w:val="28"/>
        </w:rPr>
      </w:pPr>
      <w:r w:rsidRPr="004436FA">
        <w:rPr>
          <w:rFonts w:ascii="Times New Roman" w:hAnsi="Times New Roman"/>
          <w:sz w:val="28"/>
          <w:szCs w:val="28"/>
        </w:rPr>
        <w:t>При этом суд указал, что право на взыскание убытков при подобных обстоятельствах не зависит от де</w:t>
      </w:r>
      <w:r>
        <w:rPr>
          <w:rFonts w:ascii="Times New Roman" w:hAnsi="Times New Roman"/>
          <w:sz w:val="28"/>
          <w:szCs w:val="28"/>
        </w:rPr>
        <w:t>йствительности договора (условий</w:t>
      </w:r>
      <w:r w:rsidRPr="004436FA">
        <w:rPr>
          <w:rFonts w:ascii="Times New Roman" w:hAnsi="Times New Roman"/>
          <w:sz w:val="28"/>
          <w:szCs w:val="28"/>
        </w:rPr>
        <w:t xml:space="preserve"> договора), на основании которого была уплачена завышенная цена, если поставщик необоснованно применяет разные цены в отношении разных покупателей.</w:t>
      </w:r>
    </w:p>
    <w:p w:rsidR="00DB066E" w:rsidRPr="004436FA" w:rsidRDefault="00DB066E" w:rsidP="00DB066E">
      <w:pPr>
        <w:spacing w:after="0" w:line="240" w:lineRule="auto"/>
        <w:ind w:firstLine="709"/>
        <w:jc w:val="both"/>
        <w:rPr>
          <w:rFonts w:ascii="Times New Roman" w:hAnsi="Times New Roman"/>
          <w:sz w:val="28"/>
          <w:szCs w:val="28"/>
        </w:rPr>
      </w:pPr>
      <w:r w:rsidRPr="00043AAE">
        <w:rPr>
          <w:rFonts w:ascii="Times New Roman" w:hAnsi="Times New Roman"/>
          <w:sz w:val="28"/>
          <w:szCs w:val="28"/>
        </w:rPr>
        <w:t xml:space="preserve">Также один из способов расчета убытков закреплен в пункте 2 статьи 393.1 ГК РФ, в соответствии с которым кредитор наделен правом требовать убытки в виде разницы между текущей ценой и ценой, которая была зафиксирована в неисполненном договоре. </w:t>
      </w:r>
      <w:r w:rsidRPr="00043AAE">
        <w:rPr>
          <w:rFonts w:ascii="Times New Roman" w:eastAsia="BatangChe" w:hAnsi="Times New Roman"/>
          <w:sz w:val="28"/>
          <w:szCs w:val="28"/>
        </w:rPr>
        <w:t xml:space="preserve">Однако указанный </w:t>
      </w:r>
      <w:r w:rsidRPr="00043AAE">
        <w:rPr>
          <w:rFonts w:ascii="Times New Roman" w:hAnsi="Times New Roman"/>
          <w:sz w:val="28"/>
          <w:szCs w:val="28"/>
        </w:rPr>
        <w:t xml:space="preserve">способ расчета убытков пока что не получил значительного практического применения. Кроме того, применение данной нормы при взыскании убытков возможно </w:t>
      </w:r>
      <w:r w:rsidRPr="00043AAE">
        <w:rPr>
          <w:rFonts w:ascii="Times New Roman" w:hAnsi="Times New Roman"/>
          <w:sz w:val="28"/>
          <w:szCs w:val="28"/>
        </w:rPr>
        <w:lastRenderedPageBreak/>
        <w:t>при наличии определенного условия – прекращения договора с нарушителем и</w:t>
      </w:r>
      <w:r w:rsidRPr="004436FA">
        <w:rPr>
          <w:rFonts w:ascii="Times New Roman" w:hAnsi="Times New Roman"/>
          <w:sz w:val="28"/>
          <w:szCs w:val="28"/>
        </w:rPr>
        <w:t xml:space="preserve"> </w:t>
      </w:r>
      <w:proofErr w:type="spellStart"/>
      <w:r w:rsidRPr="004436FA">
        <w:rPr>
          <w:rFonts w:ascii="Times New Roman" w:hAnsi="Times New Roman"/>
          <w:sz w:val="28"/>
          <w:szCs w:val="28"/>
        </w:rPr>
        <w:t>незаключения</w:t>
      </w:r>
      <w:proofErr w:type="spellEnd"/>
      <w:r w:rsidRPr="004436FA">
        <w:rPr>
          <w:rFonts w:ascii="Times New Roman" w:hAnsi="Times New Roman"/>
          <w:sz w:val="28"/>
          <w:szCs w:val="28"/>
        </w:rPr>
        <w:t xml:space="preserve"> нового взамен прекращенного.</w:t>
      </w:r>
    </w:p>
    <w:p w:rsidR="00DB066E" w:rsidRPr="004436FA" w:rsidRDefault="00DB066E" w:rsidP="00DB066E">
      <w:pPr>
        <w:spacing w:after="0" w:line="240" w:lineRule="auto"/>
        <w:ind w:firstLine="709"/>
        <w:jc w:val="both"/>
        <w:rPr>
          <w:rFonts w:ascii="Times New Roman" w:hAnsi="Times New Roman"/>
          <w:sz w:val="28"/>
          <w:szCs w:val="28"/>
        </w:rPr>
      </w:pPr>
    </w:p>
    <w:p w:rsidR="00DB066E" w:rsidRPr="001A2731" w:rsidRDefault="00DB066E" w:rsidP="00DB066E">
      <w:pPr>
        <w:spacing w:after="0" w:line="240" w:lineRule="auto"/>
        <w:jc w:val="center"/>
        <w:rPr>
          <w:rFonts w:ascii="Times New Roman" w:hAnsi="Times New Roman"/>
          <w:b/>
          <w:sz w:val="28"/>
          <w:szCs w:val="28"/>
        </w:rPr>
      </w:pPr>
      <w:r>
        <w:rPr>
          <w:rFonts w:ascii="Times New Roman" w:hAnsi="Times New Roman"/>
          <w:b/>
          <w:sz w:val="28"/>
          <w:szCs w:val="28"/>
        </w:rPr>
        <w:t>1.4. </w:t>
      </w:r>
      <w:r w:rsidRPr="001A2731">
        <w:rPr>
          <w:rFonts w:ascii="Times New Roman" w:hAnsi="Times New Roman"/>
          <w:b/>
          <w:sz w:val="28"/>
          <w:szCs w:val="28"/>
        </w:rPr>
        <w:t>Законодательное ограничение возможности взыскания убытков</w:t>
      </w:r>
    </w:p>
    <w:p w:rsidR="00DB066E" w:rsidRPr="004436FA" w:rsidRDefault="00DB066E" w:rsidP="00DB066E">
      <w:pPr>
        <w:spacing w:after="0" w:line="240" w:lineRule="auto"/>
        <w:ind w:firstLine="709"/>
        <w:jc w:val="both"/>
        <w:rPr>
          <w:rFonts w:ascii="Times New Roman" w:hAnsi="Times New Roman"/>
          <w:b/>
          <w:sz w:val="28"/>
          <w:szCs w:val="28"/>
        </w:rPr>
      </w:pP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Помимо недоказанности какого-либо из оснований возмещения убытков, основанием для отказа в иске может стать правовая природа отношений между истцом и ответчиком и существующие в связи с этим законодательные ограничения на взыскание убытков.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Часть 3 статьи 37 Закона содержит общую норму, предоставляющую лицам, права и интересы которых нарушены в результате нарушения антимонопольного законодательства, возможность использовать предусмотренные законом способы защиты гражданских прав. При этом основания и порядок применения такого способа защиты как возмещение убытков, в том числе упущенной выгоды, регулируется нормами гражданского законодательства.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Согласно </w:t>
      </w:r>
      <w:hyperlink r:id="rId45" w:history="1">
        <w:r w:rsidRPr="004436FA">
          <w:rPr>
            <w:rFonts w:ascii="Times New Roman" w:hAnsi="Times New Roman"/>
            <w:sz w:val="28"/>
            <w:szCs w:val="28"/>
          </w:rPr>
          <w:t>статье 15</w:t>
        </w:r>
      </w:hyperlink>
      <w:r w:rsidRPr="004436FA">
        <w:rPr>
          <w:rFonts w:ascii="Times New Roman" w:hAnsi="Times New Roman"/>
          <w:sz w:val="28"/>
          <w:szCs w:val="28"/>
        </w:rPr>
        <w:t xml:space="preserve"> ГК РФ по общему правилу лицо, право которого нарушено, может требовать полного возмещения причиненных ему убытков. Возмещение убытков в меньшем размере возможно в случаях, предусмотренных законом или договором в пределах, установленных гражданским законодательством (см. также пункт 11 Постановления Пленума Верховного Суда РФ от 23 июня 2015 г. № </w:t>
      </w:r>
      <w:r>
        <w:rPr>
          <w:rFonts w:ascii="Times New Roman" w:hAnsi="Times New Roman"/>
          <w:sz w:val="28"/>
          <w:szCs w:val="28"/>
        </w:rPr>
        <w:t>25 «</w:t>
      </w:r>
      <w:r w:rsidRPr="007A07DF">
        <w:rPr>
          <w:rFonts w:ascii="Times New Roman" w:hAnsi="Times New Roman"/>
          <w:sz w:val="28"/>
          <w:szCs w:val="28"/>
        </w:rPr>
        <w:t>О применении судами некоторых положений раздела I части первой Гражданского кодекса Российской Федерации»).</w:t>
      </w:r>
    </w:p>
    <w:p w:rsidR="00DB066E" w:rsidRPr="004436FA" w:rsidRDefault="00DB066E" w:rsidP="00DB066E">
      <w:pPr>
        <w:spacing w:after="0" w:line="240" w:lineRule="auto"/>
        <w:ind w:firstLine="709"/>
        <w:jc w:val="both"/>
        <w:rPr>
          <w:rFonts w:ascii="Times New Roman" w:hAnsi="Times New Roman"/>
          <w:sz w:val="28"/>
          <w:szCs w:val="28"/>
        </w:rPr>
      </w:pPr>
      <w:r w:rsidRPr="007A07DF">
        <w:rPr>
          <w:rFonts w:ascii="Times New Roman" w:hAnsi="Times New Roman"/>
          <w:b/>
          <w:sz w:val="28"/>
          <w:szCs w:val="28"/>
        </w:rPr>
        <w:t>Пример.</w:t>
      </w:r>
      <w:r w:rsidRPr="004436FA">
        <w:rPr>
          <w:rFonts w:ascii="Times New Roman" w:hAnsi="Times New Roman"/>
          <w:b/>
          <w:sz w:val="28"/>
          <w:szCs w:val="28"/>
        </w:rPr>
        <w:t xml:space="preserve"> </w:t>
      </w:r>
      <w:r w:rsidRPr="004436FA">
        <w:rPr>
          <w:rFonts w:ascii="Times New Roman" w:hAnsi="Times New Roman"/>
          <w:sz w:val="28"/>
          <w:szCs w:val="28"/>
        </w:rPr>
        <w:t xml:space="preserve">Дело № </w:t>
      </w:r>
      <w:hyperlink r:id="rId46" w:history="1">
        <w:r w:rsidRPr="004436FA">
          <w:rPr>
            <w:rFonts w:ascii="Times New Roman" w:hAnsi="Times New Roman"/>
            <w:sz w:val="28"/>
            <w:szCs w:val="28"/>
          </w:rPr>
          <w:t>А53-20302/2012</w:t>
        </w:r>
      </w:hyperlink>
      <w:r w:rsidRPr="004436FA">
        <w:rPr>
          <w:rFonts w:ascii="Times New Roman" w:hAnsi="Times New Roman"/>
          <w:sz w:val="28"/>
          <w:szCs w:val="28"/>
        </w:rPr>
        <w:t xml:space="preserve"> о взыскании убытков, причиненных нарушением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в форме одностороннего отказа ответчиком от приема тепловой энергии от истца по договору поставки энергоресурсов: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Суд первой инстанции удовлетворил требование истца о взыскании упущенной выгоды в размере более 4 млн. руб. Однако вышестоящие суды признали данное решение необоснованным.</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Истец рассчитал упущенную выгоду как 3% прибыли, которую он получил бы исходя из договорного количества подлежавшего реализации энергоресурса.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Рассмотрев данное требование, суды апелляционной и кассационной инстанции обратились к статье 400 ГК РФ. Согласно этой норме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Отношения хозяйствующих субъектов, возникающие в сфере энергоснабжения, урегулированы специальными нормами </w:t>
      </w:r>
      <w:hyperlink r:id="rId47" w:history="1">
        <w:r w:rsidRPr="004436FA">
          <w:rPr>
            <w:rFonts w:ascii="Times New Roman" w:hAnsi="Times New Roman"/>
            <w:sz w:val="28"/>
            <w:szCs w:val="28"/>
          </w:rPr>
          <w:t>параграфа 6 главы 30</w:t>
        </w:r>
      </w:hyperlink>
      <w:r w:rsidRPr="004436FA">
        <w:rPr>
          <w:rFonts w:ascii="Times New Roman" w:hAnsi="Times New Roman"/>
          <w:sz w:val="28"/>
          <w:szCs w:val="28"/>
        </w:rPr>
        <w:t xml:space="preserve"> ГК РФ. В соответствии со </w:t>
      </w:r>
      <w:hyperlink r:id="rId48" w:history="1">
        <w:r w:rsidRPr="004436FA">
          <w:rPr>
            <w:rFonts w:ascii="Times New Roman" w:hAnsi="Times New Roman"/>
            <w:sz w:val="28"/>
            <w:szCs w:val="28"/>
          </w:rPr>
          <w:t>статьей 547</w:t>
        </w:r>
      </w:hyperlink>
      <w:r w:rsidRPr="004436FA">
        <w:rPr>
          <w:rFonts w:ascii="Times New Roman" w:hAnsi="Times New Roman"/>
          <w:sz w:val="28"/>
          <w:szCs w:val="28"/>
        </w:rPr>
        <w:t xml:space="preserve"> ГК РФ в случаях неисполнения или ненадлежащего исполнения обязательств по договору энергоснабжения </w:t>
      </w:r>
      <w:r w:rsidRPr="004436FA">
        <w:rPr>
          <w:rFonts w:ascii="Times New Roman" w:hAnsi="Times New Roman"/>
          <w:sz w:val="28"/>
          <w:szCs w:val="28"/>
        </w:rPr>
        <w:lastRenderedPageBreak/>
        <w:t>сторона, нарушившая обязательство, обязана возместить причиненный этим реальный ущерб.</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Таким образом, закон, регулирующий конкретный вид обязательств, ограничил ответственность по ним в сравнении со </w:t>
      </w:r>
      <w:hyperlink r:id="rId49" w:history="1">
        <w:r w:rsidRPr="004436FA">
          <w:rPr>
            <w:rFonts w:ascii="Times New Roman" w:hAnsi="Times New Roman"/>
            <w:sz w:val="28"/>
            <w:szCs w:val="28"/>
          </w:rPr>
          <w:t>статьей 15</w:t>
        </w:r>
      </w:hyperlink>
      <w:r w:rsidRPr="004436FA">
        <w:rPr>
          <w:rFonts w:ascii="Times New Roman" w:hAnsi="Times New Roman"/>
          <w:sz w:val="28"/>
          <w:szCs w:val="28"/>
        </w:rPr>
        <w:t xml:space="preserve"> ГК РФ, устанавливающей принцип полного возмещения убытков, в том числе упущенной выгоды.</w:t>
      </w:r>
    </w:p>
    <w:p w:rsidR="00DB066E" w:rsidRPr="004436FA" w:rsidRDefault="00DB066E" w:rsidP="00DB066E">
      <w:pPr>
        <w:spacing w:after="0" w:line="240" w:lineRule="auto"/>
        <w:ind w:firstLine="709"/>
        <w:jc w:val="both"/>
        <w:rPr>
          <w:rFonts w:ascii="Times New Roman" w:hAnsi="Times New Roman"/>
          <w:sz w:val="28"/>
          <w:szCs w:val="28"/>
        </w:rPr>
      </w:pPr>
    </w:p>
    <w:p w:rsidR="00DB066E" w:rsidRPr="004436FA" w:rsidRDefault="00DB066E" w:rsidP="00DB066E">
      <w:pPr>
        <w:spacing w:after="0" w:line="240" w:lineRule="auto"/>
        <w:jc w:val="center"/>
        <w:rPr>
          <w:rFonts w:ascii="Times New Roman" w:hAnsi="Times New Roman"/>
          <w:b/>
          <w:sz w:val="28"/>
          <w:szCs w:val="28"/>
        </w:rPr>
      </w:pPr>
      <w:r>
        <w:rPr>
          <w:rFonts w:ascii="Times New Roman" w:hAnsi="Times New Roman"/>
          <w:b/>
          <w:sz w:val="28"/>
          <w:szCs w:val="28"/>
        </w:rPr>
        <w:t>1.5. </w:t>
      </w:r>
      <w:r w:rsidRPr="004436FA">
        <w:rPr>
          <w:rFonts w:ascii="Times New Roman" w:hAnsi="Times New Roman"/>
          <w:b/>
          <w:sz w:val="28"/>
          <w:szCs w:val="28"/>
        </w:rPr>
        <w:t>Перенос издержек и иски косвенных покупателей</w:t>
      </w:r>
    </w:p>
    <w:p w:rsidR="00DB066E" w:rsidRPr="004436FA" w:rsidRDefault="00DB066E" w:rsidP="00DB066E">
      <w:pPr>
        <w:spacing w:after="0" w:line="240" w:lineRule="auto"/>
        <w:jc w:val="both"/>
        <w:rPr>
          <w:rFonts w:ascii="Times New Roman" w:hAnsi="Times New Roman"/>
          <w:sz w:val="28"/>
          <w:szCs w:val="28"/>
        </w:rPr>
      </w:pP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контексте предмета доказывания по делам о возмещении вреда особое значение имеет так называемый перенос издержек</w:t>
      </w:r>
      <w:r w:rsidRPr="004436FA">
        <w:rPr>
          <w:rStyle w:val="ab"/>
          <w:rFonts w:ascii="Times New Roman" w:hAnsi="Times New Roman"/>
          <w:sz w:val="28"/>
          <w:szCs w:val="28"/>
        </w:rPr>
        <w:footnoteReference w:id="19"/>
      </w:r>
      <w:r w:rsidRPr="004436FA">
        <w:rPr>
          <w:rFonts w:ascii="Times New Roman" w:hAnsi="Times New Roman"/>
          <w:sz w:val="28"/>
          <w:szCs w:val="28"/>
        </w:rPr>
        <w:t xml:space="preserve">. </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Речь о ситуациях, когда субъект, издержки которого возросли из-за допущенного иными лицами нарушения антимонопольного законодательства (в силу приобретения этим субъектом товара по завышенным картелем </w:t>
      </w:r>
      <w:r>
        <w:rPr>
          <w:rFonts w:ascii="Times New Roman" w:hAnsi="Times New Roman"/>
          <w:sz w:val="28"/>
          <w:szCs w:val="28"/>
        </w:rPr>
        <w:t xml:space="preserve">ценам </w:t>
      </w:r>
      <w:r w:rsidRPr="004436FA">
        <w:rPr>
          <w:rFonts w:ascii="Times New Roman" w:hAnsi="Times New Roman"/>
          <w:sz w:val="28"/>
          <w:szCs w:val="28"/>
        </w:rPr>
        <w:t>или монопольно высоким ценам и т.п.), увеличивает стоимость собственн</w:t>
      </w:r>
      <w:r>
        <w:rPr>
          <w:rFonts w:ascii="Times New Roman" w:hAnsi="Times New Roman"/>
          <w:sz w:val="28"/>
          <w:szCs w:val="28"/>
        </w:rPr>
        <w:t>ых</w:t>
      </w:r>
      <w:r w:rsidRPr="004436FA">
        <w:rPr>
          <w:rFonts w:ascii="Times New Roman" w:hAnsi="Times New Roman"/>
          <w:sz w:val="28"/>
          <w:szCs w:val="28"/>
        </w:rPr>
        <w:t xml:space="preserve"> </w:t>
      </w:r>
      <w:r>
        <w:rPr>
          <w:rFonts w:ascii="Times New Roman" w:hAnsi="Times New Roman"/>
          <w:sz w:val="28"/>
          <w:szCs w:val="28"/>
        </w:rPr>
        <w:t>товаров</w:t>
      </w:r>
      <w:r w:rsidRPr="004436FA">
        <w:rPr>
          <w:rFonts w:ascii="Times New Roman" w:hAnsi="Times New Roman"/>
          <w:sz w:val="28"/>
          <w:szCs w:val="28"/>
        </w:rPr>
        <w:t>, услуг или работ, «перекладывая» тем самым свое возросшее финансовое бремя на других лиц (полностью или частично).</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Возражая против заявленного иска или внесудебной претензии ответчик может сослаться на то, что пострадавший полностью или частично переложил свои негативные финансовые последствия на собственных покупателей и не может требовать возмещения каких-либо убытков в принципе либо рассчитывать такие убытки в виде разницы между справедливой рыночной ценой и завышенной ценой, по которой пострадавший субъект покупал товар нарушителя.</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Очевидно, что применение ответчиком данной защиты не противоречит требованиям российского законодательства и позволяет исключить взыскание с нарушителя излишних убытков, неоправданное обогащение пострадавшего, который уже минимизировал свои потери за счет увеличения собственных отпускных цен.</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надо учитывать, что даже полный перенос пострадавшим от нарушения лицом своих возросших издержек на собственных контрагентов (повышение собственных отпускных цен) не означает полного отсутствия у него убытков. Как правило, увеличение цены продукции влечет снижение спроса на нее и, соответственно, уменьшение дохода продавца.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 связи с этим крайне актуален вывод из Решения Европейского суда Справедливости от </w:t>
      </w:r>
      <w:r>
        <w:rPr>
          <w:rFonts w:ascii="Times New Roman" w:hAnsi="Times New Roman"/>
          <w:sz w:val="28"/>
          <w:szCs w:val="28"/>
        </w:rPr>
        <w:t>02.10.2003</w:t>
      </w:r>
      <w:r w:rsidRPr="004436FA">
        <w:rPr>
          <w:rFonts w:ascii="Times New Roman" w:hAnsi="Times New Roman"/>
          <w:sz w:val="28"/>
          <w:szCs w:val="28"/>
        </w:rPr>
        <w:t xml:space="preserve"> по делу № C-147/01: </w:t>
      </w:r>
      <w:r w:rsidRPr="004436FA">
        <w:rPr>
          <w:rFonts w:ascii="Times New Roman" w:hAnsi="Times New Roman"/>
          <w:i/>
          <w:iCs/>
          <w:sz w:val="28"/>
          <w:szCs w:val="28"/>
        </w:rPr>
        <w:t xml:space="preserve">«даже полный перенос бремени завышенной цены на собственных клиентов не означает, что покупатель нарушителя не мог пострадать от падения объемов своих продаж». </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Применение нарушителем защиты, основанной на переносе издержек пострадавшим лицом, и реальное функционирование рынков, при котором завышение цен нарушителем обычно влечет и повышение цен его </w:t>
      </w:r>
      <w:r w:rsidRPr="004436FA">
        <w:rPr>
          <w:rFonts w:ascii="Times New Roman" w:hAnsi="Times New Roman"/>
          <w:sz w:val="28"/>
          <w:szCs w:val="28"/>
        </w:rPr>
        <w:lastRenderedPageBreak/>
        <w:t>контрагентами (повышение цен по цепочке перепродаж или повышение цен на товары, услуги и работы, производимые с использованием продукта нарушителя) поднимает и вопрос о допустимости исков к нарушителям со стороны лиц, не являющихся их непосредственными контрагентами.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Утвердительный ответ на данный вопрос также не противоречит действующему российскому законодательству.</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Косвенные покупатели продукции (товаров, работ, услуг) нарушителя также вправе требовать от него возмещения убытков. При этом «</w:t>
      </w:r>
      <w:proofErr w:type="spellStart"/>
      <w:r w:rsidRPr="004436FA">
        <w:rPr>
          <w:rFonts w:ascii="Times New Roman" w:hAnsi="Times New Roman"/>
          <w:sz w:val="28"/>
          <w:szCs w:val="28"/>
        </w:rPr>
        <w:t>задвоения</w:t>
      </w:r>
      <w:proofErr w:type="spellEnd"/>
      <w:r w:rsidRPr="004436FA">
        <w:rPr>
          <w:rFonts w:ascii="Times New Roman" w:hAnsi="Times New Roman"/>
          <w:sz w:val="28"/>
          <w:szCs w:val="28"/>
        </w:rPr>
        <w:t>» взыскиваемых сумм не происходит: в части возросших издержек и первичный, и вторичный покупатели могут требовать возмещения убытков лишь применительно к издержкам, которые легли на них и не были перенесены ими далее, на собственных контрагентов.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При этом прямая причинно-следственная связь между противоправным поведением ответчика (нарушителя) и убытками истца будет заключаться в том, что именно нарушение ответчика повлекло повышение цен его прямыми покупателями и, соответственно, вызвало необоснованный рост издержек косвенных покупателей. </w:t>
      </w:r>
    </w:p>
    <w:p w:rsidR="00DB066E" w:rsidRPr="004436FA" w:rsidRDefault="00DB066E" w:rsidP="00DB066E">
      <w:pPr>
        <w:pStyle w:val="1"/>
        <w:spacing w:before="0" w:line="240" w:lineRule="auto"/>
        <w:ind w:firstLine="709"/>
        <w:jc w:val="both"/>
        <w:rPr>
          <w:rFonts w:ascii="Times New Roman" w:hAnsi="Times New Roman"/>
          <w:color w:val="auto"/>
        </w:rPr>
      </w:pPr>
      <w:bookmarkStart w:id="12" w:name="_Ref405299388"/>
      <w:bookmarkStart w:id="13" w:name="_Toc487536219"/>
      <w:r>
        <w:rPr>
          <w:rFonts w:ascii="Times New Roman" w:hAnsi="Times New Roman"/>
          <w:color w:val="auto"/>
        </w:rPr>
        <w:t>2</w:t>
      </w:r>
      <w:r w:rsidRPr="004436FA">
        <w:rPr>
          <w:rFonts w:ascii="Times New Roman" w:hAnsi="Times New Roman"/>
          <w:color w:val="auto"/>
        </w:rPr>
        <w:t>. Концептуальные подходы к расчету убытков</w:t>
      </w:r>
      <w:bookmarkEnd w:id="12"/>
      <w:r w:rsidRPr="004436FA">
        <w:rPr>
          <w:rFonts w:ascii="Times New Roman" w:hAnsi="Times New Roman"/>
          <w:color w:val="auto"/>
        </w:rPr>
        <w:t>.</w:t>
      </w:r>
      <w:bookmarkEnd w:id="13"/>
    </w:p>
    <w:p w:rsidR="00DB066E" w:rsidRPr="004436FA" w:rsidRDefault="00DB066E" w:rsidP="00DB066E">
      <w:pPr>
        <w:pStyle w:val="RBBBodytext"/>
        <w:spacing w:before="0" w:after="0" w:line="240" w:lineRule="auto"/>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Настоящий раздел посвящен описанию концептуальных подходов, составляющих базис для расчетов убытков, причиненных нарушением антимонопольного законодательства. В подразделе 2.1 обсуждаются общие экономические принципы, используемые при расчете убытков. К ним, в частности, относятся </w:t>
      </w:r>
      <w:proofErr w:type="spellStart"/>
      <w:r w:rsidRPr="004436FA">
        <w:rPr>
          <w:rFonts w:ascii="Times New Roman" w:hAnsi="Times New Roman" w:cs="Times New Roman"/>
          <w:sz w:val="28"/>
          <w:szCs w:val="28"/>
        </w:rPr>
        <w:t>контрфактуальный</w:t>
      </w:r>
      <w:proofErr w:type="spellEnd"/>
      <w:r w:rsidRPr="004436FA">
        <w:rPr>
          <w:rFonts w:ascii="Times New Roman" w:hAnsi="Times New Roman" w:cs="Times New Roman"/>
          <w:sz w:val="28"/>
          <w:szCs w:val="28"/>
        </w:rPr>
        <w:t xml:space="preserve"> анализ, недополученная прибыль и упущенная выгода. Подраздел 2.2 посвящен обзору конкретных аналитических методов, которые могут применяться для проведения </w:t>
      </w:r>
      <w:proofErr w:type="spellStart"/>
      <w:r w:rsidRPr="004436FA">
        <w:rPr>
          <w:rFonts w:ascii="Times New Roman" w:hAnsi="Times New Roman" w:cs="Times New Roman"/>
          <w:sz w:val="28"/>
          <w:szCs w:val="28"/>
        </w:rPr>
        <w:t>контрфактуального</w:t>
      </w:r>
      <w:proofErr w:type="spellEnd"/>
      <w:r w:rsidRPr="004436FA">
        <w:rPr>
          <w:rFonts w:ascii="Times New Roman" w:hAnsi="Times New Roman" w:cs="Times New Roman"/>
          <w:sz w:val="28"/>
          <w:szCs w:val="28"/>
        </w:rPr>
        <w:t xml:space="preserve"> анализа на практике. В завершающем подразделе 2.3 обсуждаются источники информации, используемые в ходе проведении экспертизы по расчету убытков.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необходимых случаях далее будет описываться также расчет финансовых потерь, подлежащих возмещению согласно действующему законодательству в порядке применения последствий недействительности сделки (реституции).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Примеры применения описанных выше подходов, включая иллюстративные расчеты, приводятся в последующих разделах 3 и 4.</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14" w:name="_Ref406682950"/>
      <w:bookmarkStart w:id="15" w:name="_Toc487536220"/>
      <w:r>
        <w:rPr>
          <w:rFonts w:ascii="Times New Roman" w:hAnsi="Times New Roman"/>
          <w:color w:val="auto"/>
          <w:sz w:val="28"/>
          <w:szCs w:val="28"/>
        </w:rPr>
        <w:t>2</w:t>
      </w:r>
      <w:r w:rsidRPr="004436FA">
        <w:rPr>
          <w:rFonts w:ascii="Times New Roman" w:hAnsi="Times New Roman"/>
          <w:color w:val="auto"/>
          <w:sz w:val="28"/>
          <w:szCs w:val="28"/>
        </w:rPr>
        <w:t>.1. Общие принципы</w:t>
      </w:r>
      <w:bookmarkEnd w:id="14"/>
      <w:r w:rsidRPr="004436FA">
        <w:rPr>
          <w:rFonts w:ascii="Times New Roman" w:hAnsi="Times New Roman"/>
          <w:color w:val="auto"/>
          <w:sz w:val="28"/>
          <w:szCs w:val="28"/>
        </w:rPr>
        <w:t>.</w:t>
      </w:r>
      <w:bookmarkEnd w:id="15"/>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16" w:name="_Toc487536221"/>
      <w:r>
        <w:rPr>
          <w:rFonts w:ascii="Times New Roman" w:hAnsi="Times New Roman"/>
          <w:color w:val="auto"/>
          <w:sz w:val="28"/>
          <w:szCs w:val="28"/>
        </w:rPr>
        <w:t>2</w:t>
      </w:r>
      <w:r w:rsidRPr="004436FA">
        <w:rPr>
          <w:rFonts w:ascii="Times New Roman" w:hAnsi="Times New Roman"/>
          <w:color w:val="auto"/>
          <w:sz w:val="28"/>
          <w:szCs w:val="28"/>
        </w:rPr>
        <w:t xml:space="preserve">.1.1. </w:t>
      </w:r>
      <w:proofErr w:type="spellStart"/>
      <w:r w:rsidRPr="004436FA">
        <w:rPr>
          <w:rFonts w:ascii="Times New Roman" w:hAnsi="Times New Roman"/>
          <w:color w:val="auto"/>
          <w:sz w:val="28"/>
          <w:szCs w:val="28"/>
        </w:rPr>
        <w:t>Контрфактуальный</w:t>
      </w:r>
      <w:proofErr w:type="spellEnd"/>
      <w:r w:rsidRPr="004436FA">
        <w:rPr>
          <w:rFonts w:ascii="Times New Roman" w:hAnsi="Times New Roman"/>
          <w:color w:val="auto"/>
          <w:sz w:val="28"/>
          <w:szCs w:val="28"/>
        </w:rPr>
        <w:t xml:space="preserve"> анализ.</w:t>
      </w:r>
      <w:bookmarkEnd w:id="16"/>
    </w:p>
    <w:p w:rsidR="00DB066E" w:rsidRDefault="00DB066E" w:rsidP="00DB066E">
      <w:pPr>
        <w:pStyle w:val="RBBBodytext"/>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Данный подход предполагает, что</w:t>
      </w:r>
      <w:r w:rsidRPr="004436FA">
        <w:rPr>
          <w:rFonts w:ascii="Times New Roman" w:hAnsi="Times New Roman" w:cs="Times New Roman"/>
          <w:sz w:val="28"/>
          <w:szCs w:val="28"/>
        </w:rPr>
        <w:t xml:space="preserve"> </w:t>
      </w:r>
      <w:r>
        <w:rPr>
          <w:rFonts w:ascii="Times New Roman" w:hAnsi="Times New Roman" w:cs="Times New Roman"/>
          <w:sz w:val="28"/>
          <w:szCs w:val="28"/>
        </w:rPr>
        <w:t xml:space="preserve">при </w:t>
      </w:r>
      <w:r w:rsidRPr="004436FA">
        <w:rPr>
          <w:rFonts w:ascii="Times New Roman" w:hAnsi="Times New Roman" w:cs="Times New Roman"/>
          <w:sz w:val="28"/>
          <w:szCs w:val="28"/>
        </w:rPr>
        <w:t xml:space="preserve">расчете убытков, которые понесли хозяйствующие субъекты вследствие нарушения антимонопольного законодательства, необходимо рассмотреть фактическую ситуацию на рынке в сослагательном наклонении: как бы мог выглядеть рынок, конкурентная среда или финансовое положение хозяйствующего субъекта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lastRenderedPageBreak/>
        <w:t xml:space="preserve">Практическое применение </w:t>
      </w:r>
      <w:proofErr w:type="spellStart"/>
      <w:r w:rsidRPr="004436FA">
        <w:rPr>
          <w:rFonts w:ascii="Times New Roman" w:hAnsi="Times New Roman" w:cs="Times New Roman"/>
          <w:sz w:val="28"/>
          <w:szCs w:val="28"/>
        </w:rPr>
        <w:t>контрфактуального</w:t>
      </w:r>
      <w:proofErr w:type="spellEnd"/>
      <w:r w:rsidRPr="004436FA">
        <w:rPr>
          <w:rFonts w:ascii="Times New Roman" w:hAnsi="Times New Roman" w:cs="Times New Roman"/>
          <w:sz w:val="28"/>
          <w:szCs w:val="28"/>
        </w:rPr>
        <w:t xml:space="preserve"> анализа всегда основано на ряде предположений об издержках, ценах, объемах продаж, общем размере рынка, прибыльности и прочих параметрах конкурентной среды, которые гипотетически могли бы иметь место на исследуемом рынке, если бы нарушения не произошло. Выбор этих предположений должен быть соответствующим образом мотивирован стороной, осуществляющей оценку убытков.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Для проверки обоснованности предположений необходимо применять экономические методы. Подходы, которые детально обсуждаются в данном документе, могут служить отправной точкой такого анализа, однако они не являются исчерпывающими. В зависимости от особенностей рассматриваемой ситуации нельзя исключать использования и иных (более сложных) экономических методов и подходов. Выбор определенного аналитического подхода на практике должен быть соответствующим образом мотивирован стороной, осуществляющей оценку убытков.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После того, как были сделаны предположения об основных параметрах рынка и конкурентной среды, можно приступать к количественной оценке убытка, который был нанесен пострадавшему лицу. С экономической точки зрения данный убыток представляет собой упущенную выгоду (коммерческие возможности), которые пострадавшее лицо реалистично могло бы ожидать дополнительно получить (использовать)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Упущенная выгода исчисляется в денежном выражении как недополученная прибыль (в том числе упущенные коммерческие возможности, означающие в конечном итоге недополученную прибыль).</w:t>
      </w:r>
      <w:r w:rsidRPr="004436FA">
        <w:rPr>
          <w:rFonts w:ascii="Times New Roman" w:hAnsi="Times New Roman" w:cs="Times New Roman"/>
          <w:i/>
          <w:sz w:val="28"/>
          <w:szCs w:val="28"/>
        </w:rPr>
        <w:t xml:space="preserve"> </w:t>
      </w:r>
      <w:r w:rsidRPr="004436FA">
        <w:rPr>
          <w:rFonts w:ascii="Times New Roman" w:hAnsi="Times New Roman" w:cs="Times New Roman"/>
          <w:sz w:val="28"/>
          <w:szCs w:val="28"/>
        </w:rPr>
        <w:t>Ее оценка может быть проведена с помощью различных показателей, прямым или косвенным образом отражающих недополученную прибыль. К таковым могут относиться, например, снижение выручки, рост издержек, потеря покупателей или определенной доли рынка, уменьшение свободного денежного потока</w:t>
      </w:r>
      <w:r w:rsidRPr="004436FA">
        <w:rPr>
          <w:rStyle w:val="ab"/>
          <w:rFonts w:ascii="Times New Roman" w:hAnsi="Times New Roman" w:cs="Times New Roman"/>
          <w:sz w:val="28"/>
          <w:szCs w:val="28"/>
        </w:rPr>
        <w:footnoteReference w:id="20"/>
      </w:r>
      <w:r w:rsidRPr="004436FA">
        <w:rPr>
          <w:rFonts w:ascii="Times New Roman" w:hAnsi="Times New Roman" w:cs="Times New Roman"/>
          <w:sz w:val="28"/>
          <w:szCs w:val="28"/>
        </w:rPr>
        <w:t xml:space="preserve"> и т.д.</w:t>
      </w:r>
      <w:r w:rsidRPr="004436FA">
        <w:rPr>
          <w:rFonts w:ascii="Times New Roman" w:hAnsi="Times New Roman" w:cs="Times New Roman"/>
          <w:i/>
          <w:sz w:val="28"/>
          <w:szCs w:val="28"/>
        </w:rPr>
        <w:t xml:space="preserve"> </w:t>
      </w:r>
      <w:r w:rsidRPr="004436FA">
        <w:rPr>
          <w:rFonts w:ascii="Times New Roman" w:hAnsi="Times New Roman" w:cs="Times New Roman"/>
          <w:sz w:val="28"/>
          <w:szCs w:val="28"/>
        </w:rPr>
        <w:t>Выбор показателя, наилучшим образом отражающего упущенную выгоду, должен быть соответствующим образом обоснован стороной, осуществляющей оценку убытка.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3"/>
        <w:spacing w:before="0" w:line="240" w:lineRule="auto"/>
        <w:ind w:firstLine="709"/>
        <w:jc w:val="both"/>
        <w:rPr>
          <w:rFonts w:ascii="Times New Roman" w:hAnsi="Times New Roman"/>
          <w:color w:val="auto"/>
          <w:sz w:val="28"/>
          <w:szCs w:val="28"/>
        </w:rPr>
      </w:pPr>
      <w:bookmarkStart w:id="17" w:name="_Toc487536222"/>
      <w:r w:rsidRPr="004436FA">
        <w:rPr>
          <w:rFonts w:ascii="Times New Roman" w:hAnsi="Times New Roman"/>
          <w:color w:val="auto"/>
          <w:sz w:val="28"/>
          <w:szCs w:val="28"/>
        </w:rPr>
        <w:t>2.1.2. Временной фактор и упущенная выгода (недополученная прибыль).</w:t>
      </w:r>
      <w:bookmarkEnd w:id="17"/>
    </w:p>
    <w:p w:rsidR="00DB066E" w:rsidRPr="00043AAE" w:rsidRDefault="00DB066E" w:rsidP="00DB066E">
      <w:pPr>
        <w:spacing w:after="0" w:line="240" w:lineRule="auto"/>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Во многих случаях необходимость оценивать убытки возникает через некоторое время после их причинения, например, после того, как было вынесено решение антимонопольного органа или суда, подтверждающее факт нарушения антимонопольного законодательства. Это означает, что пострадавшему лицу необходимо оценить не только размер убытка на момент его возникновения в прошлом, но и текущую стоимость убытка (т</w:t>
      </w:r>
      <w:r>
        <w:rPr>
          <w:rFonts w:ascii="Times New Roman" w:hAnsi="Times New Roman" w:cs="Times New Roman"/>
          <w:sz w:val="28"/>
          <w:szCs w:val="28"/>
        </w:rPr>
        <w:t xml:space="preserve">о </w:t>
      </w:r>
      <w:r w:rsidRPr="004436FA">
        <w:rPr>
          <w:rFonts w:ascii="Times New Roman" w:hAnsi="Times New Roman" w:cs="Times New Roman"/>
          <w:sz w:val="28"/>
          <w:szCs w:val="28"/>
        </w:rPr>
        <w:t>е</w:t>
      </w:r>
      <w:r>
        <w:rPr>
          <w:rFonts w:ascii="Times New Roman" w:hAnsi="Times New Roman" w:cs="Times New Roman"/>
          <w:sz w:val="28"/>
          <w:szCs w:val="28"/>
        </w:rPr>
        <w:t>сть</w:t>
      </w:r>
      <w:r w:rsidRPr="004436FA">
        <w:rPr>
          <w:rFonts w:ascii="Times New Roman" w:hAnsi="Times New Roman" w:cs="Times New Roman"/>
          <w:sz w:val="28"/>
          <w:szCs w:val="28"/>
        </w:rPr>
        <w:t xml:space="preserve"> на момент осуществления оценки), с учетом упущенных </w:t>
      </w:r>
      <w:r w:rsidRPr="004436FA">
        <w:rPr>
          <w:rFonts w:ascii="Times New Roman" w:hAnsi="Times New Roman" w:cs="Times New Roman"/>
          <w:sz w:val="28"/>
          <w:szCs w:val="28"/>
        </w:rPr>
        <w:lastRenderedPageBreak/>
        <w:t xml:space="preserve">(инвестиционных или коммерческих) возможностей. В противном случае убыток будет оценен не полностью.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Для иллюстрации в качестве простого примера можно представить ситуацию, когда в результате </w:t>
      </w:r>
      <w:proofErr w:type="spellStart"/>
      <w:r w:rsidRPr="004436FA">
        <w:rPr>
          <w:rFonts w:ascii="Times New Roman" w:hAnsi="Times New Roman" w:cs="Times New Roman"/>
          <w:sz w:val="28"/>
          <w:szCs w:val="28"/>
        </w:rPr>
        <w:t>антиконкурентных</w:t>
      </w:r>
      <w:proofErr w:type="spellEnd"/>
      <w:r w:rsidRPr="004436FA">
        <w:rPr>
          <w:rFonts w:ascii="Times New Roman" w:hAnsi="Times New Roman" w:cs="Times New Roman"/>
          <w:sz w:val="28"/>
          <w:szCs w:val="28"/>
        </w:rPr>
        <w:t xml:space="preserve"> действий пострадавший хозяйствующий субъект недополучил прибыль на сумму 100 тыс. руб. несколько лет назад. Однако если такой хозяйствующий субъект в настоящий момент получит всю указанную сумму в возмещение убытков, то это не возместит ему упущенную выгоду. За истекшее время недополученная прибыль могла бы быть вложена данным субъектом в развитие его собственного бизнеса, и на эти 100 тыс. руб. мог бы быть получен дополнительный доход.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В случае</w:t>
      </w:r>
      <w:r w:rsidRPr="004436FA">
        <w:rPr>
          <w:rFonts w:ascii="Times New Roman" w:hAnsi="Times New Roman" w:cs="Times New Roman"/>
          <w:sz w:val="28"/>
          <w:szCs w:val="28"/>
        </w:rPr>
        <w:t xml:space="preserve">, если пострадавшее лицо ежегодно получает отдачу в размере 10% на вложенный капитал, то </w:t>
      </w:r>
      <w:proofErr w:type="spellStart"/>
      <w:r w:rsidRPr="004436FA">
        <w:rPr>
          <w:rFonts w:ascii="Times New Roman" w:hAnsi="Times New Roman" w:cs="Times New Roman"/>
          <w:sz w:val="28"/>
          <w:szCs w:val="28"/>
        </w:rPr>
        <w:t>недополучение</w:t>
      </w:r>
      <w:proofErr w:type="spellEnd"/>
      <w:r w:rsidRPr="004436FA">
        <w:rPr>
          <w:rFonts w:ascii="Times New Roman" w:hAnsi="Times New Roman" w:cs="Times New Roman"/>
          <w:sz w:val="28"/>
          <w:szCs w:val="28"/>
        </w:rPr>
        <w:t xml:space="preserve"> прибыли размером в 100 тыс. руб., которая могла бы быть </w:t>
      </w:r>
      <w:proofErr w:type="spellStart"/>
      <w:r w:rsidRPr="004436FA">
        <w:rPr>
          <w:rFonts w:ascii="Times New Roman" w:hAnsi="Times New Roman" w:cs="Times New Roman"/>
          <w:sz w:val="28"/>
          <w:szCs w:val="28"/>
        </w:rPr>
        <w:t>проинвестирована</w:t>
      </w:r>
      <w:proofErr w:type="spellEnd"/>
      <w:r w:rsidRPr="004436FA">
        <w:rPr>
          <w:rFonts w:ascii="Times New Roman" w:hAnsi="Times New Roman" w:cs="Times New Roman"/>
          <w:sz w:val="28"/>
          <w:szCs w:val="28"/>
        </w:rPr>
        <w:t xml:space="preserve"> в течение 2 лет приведет к дополнительном убытку (упущенной выгоде) в размере 21 тыс. руб. (10 тыс. руб. = 100 тыс. * 10% в первый год и 11 тыс. руб. = 110 тыс. *10% во второй год). Очевидно, что эта выгода является упущенной с точки зрения рассматриваемого хозяйствующего субъекта. При этом причиной, по которой данный доход был недополучен, является именно то нарушение антимонопольного законодательства, которое привело к возникновению первоначальной суммы убытка в 100 тыс. руб.</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Бремя доказывания реальности извлечения указанной прибыли и прямой причинно-следственной связи ее неполучения с допущенным нарушением лежит на пострадавшем от нарушения антимонопольного законодательства лице.</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18" w:name="_Toc487536223"/>
      <w:r w:rsidRPr="004436FA">
        <w:rPr>
          <w:rFonts w:ascii="Times New Roman" w:hAnsi="Times New Roman"/>
          <w:color w:val="auto"/>
          <w:sz w:val="28"/>
          <w:szCs w:val="28"/>
        </w:rPr>
        <w:t>2.1.3. Нарушения антимонопольного законодательства, дающие предпосылку для расчета убытков (иных финансовых потерь, подлежащих покрытию в порядке реституции).</w:t>
      </w:r>
      <w:bookmarkEnd w:id="18"/>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общем случае есть два основных типа антимонопольных нарушений, приводящих к сходным типам финансовых потерь.</w:t>
      </w:r>
    </w:p>
    <w:p w:rsidR="00DB066E" w:rsidRPr="004436FA" w:rsidRDefault="00DB066E" w:rsidP="00DB066E">
      <w:pPr>
        <w:pStyle w:val="RBBBodytext"/>
        <w:spacing w:before="0" w:after="0" w:line="240" w:lineRule="auto"/>
        <w:ind w:firstLine="709"/>
        <w:rPr>
          <w:rFonts w:ascii="Times New Roman" w:hAnsi="Times New Roman" w:cs="Times New Roman"/>
          <w:b/>
          <w:sz w:val="28"/>
          <w:szCs w:val="28"/>
        </w:rPr>
      </w:pPr>
      <w:r w:rsidRPr="004436FA">
        <w:rPr>
          <w:rFonts w:ascii="Times New Roman" w:hAnsi="Times New Roman" w:cs="Times New Roman"/>
          <w:b/>
          <w:sz w:val="28"/>
          <w:szCs w:val="28"/>
        </w:rPr>
        <w:t>Нарушения, приводящие к необоснованному повышению цен, установлению необоснованно высоких цен и (или) поддержанию цен на завышенном уровне.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 числу таких нарушений, в частности, относятся следующие нарушения, если они привели к названным последствиям:</w:t>
      </w:r>
    </w:p>
    <w:p w:rsidR="00DB066E" w:rsidRPr="004436FA" w:rsidRDefault="00DB066E" w:rsidP="00DB066E">
      <w:pPr>
        <w:pStyle w:val="ConsPlusNormal"/>
        <w:numPr>
          <w:ilvl w:val="0"/>
          <w:numId w:val="41"/>
        </w:numPr>
        <w:tabs>
          <w:tab w:val="left" w:pos="851"/>
        </w:tabs>
        <w:ind w:left="0"/>
        <w:jc w:val="both"/>
      </w:pPr>
      <w:r w:rsidRPr="004436FA">
        <w:t>установление, поддержание монопольно высоких цен (пункт 1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proofErr w:type="gramStart"/>
      <w:r w:rsidRPr="004436FA">
        <w:t>изъятие товара из обращения, если результатом такого изъятия явилось повышение цены товара (пункт 2 части 1 статьи 10 Закона</w:t>
      </w:r>
      <w:r>
        <w:t xml:space="preserve"> о защите конкуренции</w:t>
      </w:r>
      <w:r w:rsidRPr="004436FA">
        <w:t>);</w:t>
      </w:r>
      <w:proofErr w:type="gramEnd"/>
    </w:p>
    <w:p w:rsidR="00DB066E" w:rsidRPr="004436FA" w:rsidRDefault="00DB066E" w:rsidP="00DB066E">
      <w:pPr>
        <w:pStyle w:val="ConsPlusNormal"/>
        <w:numPr>
          <w:ilvl w:val="0"/>
          <w:numId w:val="41"/>
        </w:numPr>
        <w:tabs>
          <w:tab w:val="left" w:pos="851"/>
        </w:tabs>
        <w:ind w:left="0"/>
        <w:jc w:val="both"/>
      </w:pPr>
      <w:r w:rsidRPr="004436FA">
        <w:t>экономически или технологически не обоснованные сокращение или прекращение производства товара (пункт 4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19" w:name="sub_100107"/>
      <w:bookmarkStart w:id="20" w:name="sub_100103"/>
      <w:r w:rsidRPr="004436FA">
        <w:lastRenderedPageBreak/>
        <w:t>установление финансовой организацией необоснованно высокой цены финансовой услуги (пункт 7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1" w:name="sub_100110"/>
      <w:bookmarkEnd w:id="19"/>
      <w:r w:rsidRPr="004436FA">
        <w:t>нарушение установленного нормативными правовыми актами порядка ценообразования (пункт 10 части 1 статьи 10 Закона</w:t>
      </w:r>
      <w:r>
        <w:t xml:space="preserve"> о защите конкуренции</w:t>
      </w:r>
      <w:r w:rsidRPr="004436FA">
        <w:t>);</w:t>
      </w:r>
    </w:p>
    <w:bookmarkEnd w:id="21"/>
    <w:p w:rsidR="00DB066E" w:rsidRPr="004436FA" w:rsidRDefault="00DB066E" w:rsidP="00DB066E">
      <w:pPr>
        <w:pStyle w:val="ConsPlusNormal"/>
        <w:numPr>
          <w:ilvl w:val="0"/>
          <w:numId w:val="41"/>
        </w:numPr>
        <w:tabs>
          <w:tab w:val="left" w:pos="851"/>
        </w:tabs>
        <w:ind w:left="0"/>
        <w:jc w:val="both"/>
      </w:pPr>
      <w:r w:rsidRPr="004436FA">
        <w:t xml:space="preserve">манипулирование на </w:t>
      </w:r>
      <w:proofErr w:type="gramStart"/>
      <w:r w:rsidRPr="004436FA">
        <w:t>оптовом</w:t>
      </w:r>
      <w:proofErr w:type="gramEnd"/>
      <w:r w:rsidRPr="004436FA">
        <w:t xml:space="preserve"> и (или) розничных рынках электрической энергии (мощности) ценами (пункт 11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 xml:space="preserve">картельные соглашения, которые привели к </w:t>
      </w:r>
      <w:bookmarkStart w:id="22" w:name="sub_110101"/>
      <w:r w:rsidRPr="004436FA">
        <w:t>установлению или поддержанию цен (тарифов), скидок, надбавок (доплат) и (или) наценок (пункт 1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3" w:name="sub_110102"/>
      <w:bookmarkEnd w:id="22"/>
      <w:r w:rsidRPr="004436FA">
        <w:t>картельные соглашения, которые привели к повышению или поддержанию цен на торгах (пункт 2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4" w:name="sub_110103"/>
      <w:bookmarkEnd w:id="23"/>
      <w:r w:rsidRPr="004436FA">
        <w:t>картельные соглашения о разделе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(пункт 3 части 1 статьи 11 Закона</w:t>
      </w:r>
      <w:r w:rsidRPr="0055400C">
        <w:t xml:space="preserve"> </w:t>
      </w:r>
      <w:r>
        <w:t>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5" w:name="sub_171122"/>
      <w:bookmarkEnd w:id="24"/>
      <w:r w:rsidRPr="004436FA">
        <w:t>картельные соглашения, которые привели к сокращению или прекращению производства товаров (пункт 4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вертикальные соглашения, направленные на установление цены перепродажи товара (пункт 1 части 2 статьи 11 Закона</w:t>
      </w:r>
      <w:r>
        <w:t xml:space="preserve"> о защите конкуренции</w:t>
      </w:r>
      <w:r w:rsidRPr="004436FA">
        <w:t xml:space="preserve">); </w:t>
      </w:r>
    </w:p>
    <w:p w:rsidR="00DB066E" w:rsidRPr="004436FA" w:rsidRDefault="00DB066E" w:rsidP="00DB066E">
      <w:pPr>
        <w:pStyle w:val="ConsPlusNormal"/>
        <w:numPr>
          <w:ilvl w:val="0"/>
          <w:numId w:val="41"/>
        </w:numPr>
        <w:tabs>
          <w:tab w:val="left" w:pos="851"/>
        </w:tabs>
        <w:ind w:left="0"/>
        <w:jc w:val="both"/>
      </w:pPr>
      <w:r w:rsidRPr="004436FA">
        <w:t xml:space="preserve">вертикальные соглашения с обязательством </w:t>
      </w:r>
      <w:bookmarkStart w:id="26" w:name="sub_111220"/>
      <w:bookmarkEnd w:id="25"/>
      <w:r w:rsidRPr="004436FA">
        <w:t>покупателя не продавать товар хозяйствующего субъекта, который является конкурентом продавца (пункт 1 части 2 статьи 11 Закона</w:t>
      </w:r>
      <w:r>
        <w:t xml:space="preserve"> о защите конкуренции</w:t>
      </w:r>
      <w:r w:rsidRPr="004436FA">
        <w:t>);</w:t>
      </w:r>
      <w:bookmarkEnd w:id="20"/>
      <w:bookmarkEnd w:id="26"/>
    </w:p>
    <w:p w:rsidR="00DB066E" w:rsidRPr="004436FA" w:rsidRDefault="00DB066E" w:rsidP="00DB066E">
      <w:pPr>
        <w:pStyle w:val="ConsPlusNormal"/>
        <w:numPr>
          <w:ilvl w:val="0"/>
          <w:numId w:val="41"/>
        </w:numPr>
        <w:tabs>
          <w:tab w:val="left" w:pos="851"/>
        </w:tabs>
        <w:ind w:left="0"/>
        <w:jc w:val="both"/>
      </w:pPr>
      <w:proofErr w:type="gramStart"/>
      <w:r w:rsidRPr="004436FA">
        <w:t>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(часть 3 статьи 11 Закона</w:t>
      </w:r>
      <w:r>
        <w:t xml:space="preserve"> о защите конкуренции</w:t>
      </w:r>
      <w:r w:rsidRPr="004436FA">
        <w:t>);</w:t>
      </w:r>
      <w:proofErr w:type="gramEnd"/>
    </w:p>
    <w:p w:rsidR="00DB066E" w:rsidRPr="004436FA" w:rsidRDefault="00DB066E" w:rsidP="00DB066E">
      <w:pPr>
        <w:pStyle w:val="ConsPlusNormal"/>
        <w:numPr>
          <w:ilvl w:val="0"/>
          <w:numId w:val="41"/>
        </w:numPr>
        <w:tabs>
          <w:tab w:val="left" w:pos="851"/>
        </w:tabs>
        <w:ind w:left="0"/>
        <w:jc w:val="both"/>
      </w:pPr>
      <w:r w:rsidRPr="004436FA">
        <w:t>согласованные действия, которые привели к установлению или поддержанию цен (тарифов), скидок, надбавок (доплат) и (или) наценок (пункт 1 части 1 статьи 11.1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согласованные действия, которые привели к повышению или поддержанию цен на торгах (пункт 2 части 1 статьи 11.1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согласованные действия, направленные на раздел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(пункт 3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согласованные действия, которые привели к сокращению или прекращению производства товаров (пункт 4 части 1 статьи 11.1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proofErr w:type="gramStart"/>
      <w:r w:rsidRPr="004436FA">
        <w:lastRenderedPageBreak/>
        <w:t>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(часть 2 статьи 11.1 Закона</w:t>
      </w:r>
      <w:r>
        <w:t xml:space="preserve"> о защите конкуренции</w:t>
      </w:r>
      <w:r w:rsidRPr="004436FA">
        <w:t>);</w:t>
      </w:r>
      <w:proofErr w:type="gramEnd"/>
    </w:p>
    <w:p w:rsidR="00DB066E" w:rsidRPr="004436FA" w:rsidRDefault="00DB066E" w:rsidP="00DB066E">
      <w:pPr>
        <w:pStyle w:val="ConsPlusNormal"/>
        <w:numPr>
          <w:ilvl w:val="0"/>
          <w:numId w:val="41"/>
        </w:numPr>
        <w:tabs>
          <w:tab w:val="left" w:pos="851"/>
        </w:tabs>
        <w:ind w:left="0"/>
        <w:jc w:val="both"/>
      </w:pPr>
      <w:proofErr w:type="gramStart"/>
      <w:r w:rsidRPr="004436FA">
        <w:t>согласованные действия хозяйствующих субъектов по навязыванию покупателю условий договора, невыгодных для него или не относящихся к предмету договора, если это привело к увеличению издержек покупателя, связанных с заключением соответствующего договора (пункт 1 части 3 статьи 11.1 Закона</w:t>
      </w:r>
      <w:r>
        <w:t xml:space="preserve"> о защите конкуренции</w:t>
      </w:r>
      <w:r w:rsidRPr="004436FA">
        <w:t>);</w:t>
      </w:r>
      <w:proofErr w:type="gramEnd"/>
    </w:p>
    <w:p w:rsidR="00DB066E" w:rsidRPr="004436FA" w:rsidRDefault="00DB066E" w:rsidP="00DB066E">
      <w:pPr>
        <w:pStyle w:val="ConsPlusNormal"/>
        <w:numPr>
          <w:ilvl w:val="0"/>
          <w:numId w:val="41"/>
        </w:numPr>
        <w:tabs>
          <w:tab w:val="left" w:pos="851"/>
        </w:tabs>
        <w:ind w:left="0"/>
        <w:jc w:val="both"/>
      </w:pPr>
      <w:r w:rsidRPr="004436FA">
        <w:t xml:space="preserve">соглашения или согласованные действия органов власти и хозяйствующих субъектов, направленные на </w:t>
      </w:r>
      <w:bookmarkStart w:id="27" w:name="sub_1601"/>
      <w:r w:rsidRPr="004436FA">
        <w:t>повышение или поддержание цен (тарифов)</w:t>
      </w:r>
      <w:bookmarkStart w:id="28" w:name="sub_1602"/>
      <w:bookmarkEnd w:id="27"/>
      <w:r w:rsidRPr="004436FA">
        <w:t xml:space="preserve"> (пункт 1 статьи 16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9" w:name="sub_1603"/>
      <w:bookmarkEnd w:id="28"/>
      <w:r w:rsidRPr="004436FA">
        <w:t>соглашения или согласованные действия органов власти и хозяйствующих субъектов, направленные на раздел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 (пункт 3 статьи 16 Закона</w:t>
      </w:r>
      <w:r>
        <w:t xml:space="preserve"> о защите конкуренции</w:t>
      </w:r>
      <w:r w:rsidRPr="004436FA">
        <w:t>).</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Этот перечень не является исчерпывающим. Данные ситуации подробно рассматриваются в разделе 3. </w:t>
      </w:r>
    </w:p>
    <w:bookmarkEnd w:id="29"/>
    <w:p w:rsidR="00DB066E" w:rsidRPr="004436FA" w:rsidRDefault="00DB066E" w:rsidP="00DB066E">
      <w:pPr>
        <w:pStyle w:val="RBBBodytext"/>
        <w:spacing w:before="0" w:after="0" w:line="240" w:lineRule="auto"/>
        <w:ind w:firstLine="709"/>
        <w:rPr>
          <w:rFonts w:ascii="Times New Roman" w:hAnsi="Times New Roman" w:cs="Times New Roman"/>
          <w:b/>
          <w:sz w:val="28"/>
          <w:szCs w:val="28"/>
        </w:rPr>
      </w:pPr>
      <w:r w:rsidRPr="004436FA">
        <w:rPr>
          <w:rFonts w:ascii="Times New Roman" w:hAnsi="Times New Roman" w:cs="Times New Roman"/>
          <w:b/>
          <w:sz w:val="28"/>
          <w:szCs w:val="28"/>
        </w:rPr>
        <w:t>Нарушения, приводящие к ограничению (созданию препятствий) доступа на рынок или приводящие к устранению с товарного рынка конкурирующих хозяйствующих субъектов.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 числу таких нарушений, в частности, относятся следующие нарушения, если они привели к названным последствиям:</w:t>
      </w:r>
    </w:p>
    <w:p w:rsidR="00DB066E" w:rsidRPr="004436FA" w:rsidRDefault="00DB066E" w:rsidP="00DB066E">
      <w:pPr>
        <w:pStyle w:val="ConsPlusNormal"/>
        <w:numPr>
          <w:ilvl w:val="0"/>
          <w:numId w:val="42"/>
        </w:numPr>
        <w:tabs>
          <w:tab w:val="left" w:pos="851"/>
        </w:tabs>
        <w:ind w:left="0"/>
        <w:jc w:val="both"/>
      </w:pPr>
      <w:r w:rsidRPr="004436FA">
        <w:t>навязывание покупателю условий договора, невыгодных для него или не относящихся к предмету договора (пункт 3 части 1 статьи 10 Закона</w:t>
      </w:r>
      <w:r>
        <w:t xml:space="preserve"> о защите конкуренции</w:t>
      </w:r>
      <w:r w:rsidRPr="004436FA">
        <w:t>);</w:t>
      </w:r>
      <w:bookmarkStart w:id="30" w:name="sub_100104"/>
    </w:p>
    <w:p w:rsidR="00DB066E" w:rsidRPr="004436FA" w:rsidRDefault="00DB066E" w:rsidP="00DB066E">
      <w:pPr>
        <w:pStyle w:val="ConsPlusNormal"/>
        <w:numPr>
          <w:ilvl w:val="0"/>
          <w:numId w:val="42"/>
        </w:numPr>
        <w:tabs>
          <w:tab w:val="left" w:pos="851"/>
        </w:tabs>
        <w:ind w:left="0"/>
        <w:jc w:val="both"/>
      </w:pPr>
      <w:bookmarkStart w:id="31" w:name="sub_100105"/>
      <w:bookmarkEnd w:id="30"/>
      <w:r w:rsidRPr="004436FA">
        <w:t>экономически или технологически не обоснованные отказ либо уклонение от заключения договора (пункт 5 части 1 статьи 10 Закона</w:t>
      </w:r>
      <w:r>
        <w:t xml:space="preserve"> о защите конкуренции</w:t>
      </w:r>
      <w:r w:rsidRPr="004436FA">
        <w:t>);</w:t>
      </w:r>
      <w:bookmarkEnd w:id="31"/>
    </w:p>
    <w:p w:rsidR="00DB066E" w:rsidRPr="004436FA" w:rsidRDefault="00DB066E" w:rsidP="00DB066E">
      <w:pPr>
        <w:pStyle w:val="ConsPlusNormal"/>
        <w:numPr>
          <w:ilvl w:val="0"/>
          <w:numId w:val="42"/>
        </w:numPr>
        <w:tabs>
          <w:tab w:val="left" w:pos="851"/>
        </w:tabs>
        <w:ind w:left="0"/>
        <w:jc w:val="both"/>
      </w:pPr>
      <w:r w:rsidRPr="004436FA">
        <w:t>установление доминирующим хозяйствующим субъектом монопольно низкой цены товара (пункт 1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установление финансовой организацией необоснованно низкой цены финансовой услуги (пункт 7 части 1 статьи 10 Закона</w:t>
      </w:r>
      <w:r>
        <w:t xml:space="preserve"> о защите конкуренции</w:t>
      </w:r>
      <w:r w:rsidRPr="004436FA">
        <w:t>);</w:t>
      </w:r>
      <w:bookmarkStart w:id="32" w:name="sub_100108"/>
    </w:p>
    <w:p w:rsidR="00DB066E" w:rsidRPr="004436FA" w:rsidRDefault="00DB066E" w:rsidP="00DB066E">
      <w:pPr>
        <w:pStyle w:val="ConsPlusNormal"/>
        <w:numPr>
          <w:ilvl w:val="0"/>
          <w:numId w:val="42"/>
        </w:numPr>
        <w:tabs>
          <w:tab w:val="left" w:pos="851"/>
        </w:tabs>
        <w:ind w:left="0"/>
        <w:jc w:val="both"/>
      </w:pPr>
      <w:r w:rsidRPr="004436FA">
        <w:t>создание дискриминационных условий (пункт 8 части 1 статьи 10 Закона</w:t>
      </w:r>
      <w:r>
        <w:t xml:space="preserve"> о защите конкуренции</w:t>
      </w:r>
      <w:r w:rsidRPr="004436FA">
        <w:t>);</w:t>
      </w:r>
      <w:bookmarkStart w:id="33" w:name="sub_100109"/>
      <w:bookmarkEnd w:id="32"/>
    </w:p>
    <w:p w:rsidR="00DB066E" w:rsidRPr="004436FA" w:rsidRDefault="00DB066E" w:rsidP="00DB066E">
      <w:pPr>
        <w:pStyle w:val="ConsPlusNormal"/>
        <w:numPr>
          <w:ilvl w:val="0"/>
          <w:numId w:val="42"/>
        </w:numPr>
        <w:tabs>
          <w:tab w:val="left" w:pos="851"/>
        </w:tabs>
        <w:ind w:left="0"/>
        <w:jc w:val="both"/>
      </w:pPr>
      <w:r w:rsidRPr="004436FA">
        <w:t>создание препятствий доступу на товарный рынок или выходу из товарного рынка другим хозяйствующим субъектам (пункт 9 части 1 статьи 10 Закона</w:t>
      </w:r>
      <w:r>
        <w:t xml:space="preserve"> о защите конкуренции</w:t>
      </w:r>
      <w:r w:rsidRPr="004436FA">
        <w:t>);</w:t>
      </w:r>
      <w:bookmarkEnd w:id="33"/>
    </w:p>
    <w:p w:rsidR="00DB066E" w:rsidRPr="004436FA" w:rsidRDefault="00DB066E" w:rsidP="00DB066E">
      <w:pPr>
        <w:pStyle w:val="ConsPlusNormal"/>
        <w:numPr>
          <w:ilvl w:val="0"/>
          <w:numId w:val="42"/>
        </w:numPr>
        <w:tabs>
          <w:tab w:val="left" w:pos="851"/>
        </w:tabs>
        <w:ind w:left="0"/>
        <w:jc w:val="both"/>
      </w:pPr>
      <w:r w:rsidRPr="004436FA">
        <w:lastRenderedPageBreak/>
        <w:t>картельные соглашения, приводящие к установлению или поддержанию монопольно низких цен (тарифов) (пункт 1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картельные соглашения, приводящие к сокращению или прекращению производства товаров (пункт 4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картельные соглашения, приводящие к отказу от заключения договоров с определенными продавцами или покупателями (заказчиками) (пункт 5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вертикальные соглашения, которыми предусмотрено обязательство покупателя не продавать товар хозяйствующего субъекта, который является конкурентом продавца (пункт 2 части 2 статьи 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proofErr w:type="gramStart"/>
      <w:r w:rsidRPr="004436FA">
        <w:t>соглашения между хозяйствующими субъектами о навязывании покупателю условий договора, невыгодных для него или не относящихся к предмету договора, если это привело к увеличению издержек покупателя, связанных с заключением соответствующего договора (пункт 1 части 4 статьи 11 Закона</w:t>
      </w:r>
      <w:r>
        <w:t xml:space="preserve"> о защите конкуренции</w:t>
      </w:r>
      <w:r w:rsidRPr="004436FA">
        <w:t>);</w:t>
      </w:r>
      <w:proofErr w:type="gramEnd"/>
    </w:p>
    <w:p w:rsidR="00DB066E" w:rsidRPr="004436FA" w:rsidRDefault="00DB066E" w:rsidP="00DB066E">
      <w:pPr>
        <w:pStyle w:val="ConsPlusNormal"/>
        <w:numPr>
          <w:ilvl w:val="0"/>
          <w:numId w:val="42"/>
        </w:numPr>
        <w:tabs>
          <w:tab w:val="left" w:pos="851"/>
        </w:tabs>
        <w:ind w:left="0"/>
        <w:jc w:val="both"/>
      </w:pPr>
      <w:proofErr w:type="gramStart"/>
      <w:r w:rsidRPr="004436FA">
        <w:t xml:space="preserve">соглашения между хозяйствующими субъектами </w:t>
      </w:r>
      <w:bookmarkStart w:id="34" w:name="sub_171127"/>
      <w:r w:rsidRPr="004436FA">
        <w:t>о создании другим хозяйствующим субъектам препятствий доступу на товарный рынок или выходу из товарного рынка</w:t>
      </w:r>
      <w:r>
        <w:t xml:space="preserve"> (пункт 3 части 4 статьи 11 Закона о защите конкуренции)</w:t>
      </w:r>
      <w:r w:rsidRPr="004436FA">
        <w:t>;</w:t>
      </w:r>
      <w:proofErr w:type="gramEnd"/>
    </w:p>
    <w:p w:rsidR="00DB066E" w:rsidRPr="004436FA" w:rsidRDefault="00DB066E" w:rsidP="00DB066E">
      <w:pPr>
        <w:pStyle w:val="ConsPlusNormal"/>
        <w:numPr>
          <w:ilvl w:val="0"/>
          <w:numId w:val="42"/>
        </w:numPr>
        <w:tabs>
          <w:tab w:val="left" w:pos="851"/>
        </w:tabs>
        <w:ind w:left="0"/>
        <w:jc w:val="both"/>
      </w:pPr>
      <w:bookmarkStart w:id="35" w:name="sub_171128"/>
      <w:bookmarkEnd w:id="34"/>
      <w:r w:rsidRPr="004436FA">
        <w:t>соглашения между хозяйствующими субъектами об установлении условий членства (участия) в профессиональных и иных объединениях</w:t>
      </w:r>
      <w:r>
        <w:t xml:space="preserve"> (пункт 4 части 4 статьи 11 Закона о защите конкуренции);</w:t>
      </w:r>
    </w:p>
    <w:bookmarkEnd w:id="35"/>
    <w:p w:rsidR="00DB066E" w:rsidRPr="004436FA" w:rsidRDefault="00DB066E" w:rsidP="00DB066E">
      <w:pPr>
        <w:pStyle w:val="ConsPlusNormal"/>
        <w:numPr>
          <w:ilvl w:val="0"/>
          <w:numId w:val="42"/>
        </w:numPr>
        <w:tabs>
          <w:tab w:val="left" w:pos="851"/>
        </w:tabs>
        <w:ind w:left="0"/>
        <w:jc w:val="both"/>
      </w:pPr>
      <w:r w:rsidRPr="004436FA">
        <w:t xml:space="preserve">согласованные </w:t>
      </w:r>
      <w:bookmarkStart w:id="36" w:name="sub_171140"/>
      <w:r w:rsidRPr="004436FA">
        <w:t>действия, которые привели к отказу от заключения договоров с определенными продавцами или покупателями (заказчиками), если такой отказ прямо не предусмотрен федеральными законами (пункт 5 части 1 статьи 11.1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согласованные действия, которые привели</w:t>
      </w:r>
      <w:bookmarkStart w:id="37" w:name="sub_171143"/>
      <w:r w:rsidRPr="004436FA">
        <w:t xml:space="preserve"> к навязыванию контрагенту условий договора, невыгодных для него или не относящихся к предмету договора </w:t>
      </w:r>
      <w:bookmarkEnd w:id="37"/>
      <w:r w:rsidRPr="004436FA">
        <w:t>(пункт 2 части 3 статьи 11.1 Закона</w:t>
      </w:r>
      <w:r>
        <w:t xml:space="preserve"> о защите конкуренции</w:t>
      </w:r>
      <w:r w:rsidRPr="004436FA">
        <w:t xml:space="preserve">); </w:t>
      </w:r>
      <w:bookmarkEnd w:id="36"/>
    </w:p>
    <w:p w:rsidR="00DB066E" w:rsidRPr="004436FA" w:rsidRDefault="00DB066E" w:rsidP="00DB066E">
      <w:pPr>
        <w:pStyle w:val="ConsPlusNormal"/>
        <w:numPr>
          <w:ilvl w:val="0"/>
          <w:numId w:val="42"/>
        </w:numPr>
        <w:tabs>
          <w:tab w:val="left" w:pos="851"/>
        </w:tabs>
        <w:ind w:left="0"/>
        <w:jc w:val="both"/>
      </w:pPr>
      <w:r w:rsidRPr="004436FA">
        <w:t>недобросовестная конкуренция (статья 14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соглашения или согласованные действия органов власти и хозяйствующих субъектов, направленные на снижение цен (тарифов) (пункт 1 статьи 16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соглашения или согласованные действия органов власти и хозяйствующих субъектов, направленные на ограничение доступа на товарный рынок или устранение с него хозяйствующих субъектов (пункт 4 статьи 16 Закона</w:t>
      </w:r>
      <w:r>
        <w:t xml:space="preserve"> о защите конкуренции</w:t>
      </w:r>
      <w:r w:rsidRPr="004436FA">
        <w:t>).</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Этот перечень не является исчерпывающим. Данные ситуации подробно рассматриваются в разделе 4.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некоторых случаях нельзя исключать того, что пострадавшие лица несут убытки (иные финансовые потери, возмещаемые в порядке </w:t>
      </w:r>
      <w:r w:rsidRPr="004436FA">
        <w:rPr>
          <w:rFonts w:ascii="Times New Roman" w:hAnsi="Times New Roman" w:cs="Times New Roman"/>
          <w:sz w:val="28"/>
          <w:szCs w:val="28"/>
        </w:rPr>
        <w:lastRenderedPageBreak/>
        <w:t xml:space="preserve">реституции) как от роста цен, так и от возникновения препятствий для их доступа на рынок.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55400C" w:rsidRDefault="00DB066E" w:rsidP="00DB066E">
      <w:pPr>
        <w:pStyle w:val="2"/>
        <w:spacing w:before="0" w:line="240" w:lineRule="auto"/>
        <w:ind w:firstLine="709"/>
        <w:jc w:val="both"/>
        <w:rPr>
          <w:rFonts w:ascii="Times New Roman" w:hAnsi="Times New Roman"/>
          <w:color w:val="auto"/>
          <w:sz w:val="28"/>
          <w:szCs w:val="28"/>
        </w:rPr>
      </w:pPr>
      <w:bookmarkStart w:id="38" w:name="_Ref406683353"/>
      <w:bookmarkStart w:id="39" w:name="_Ref438205740"/>
      <w:bookmarkStart w:id="40" w:name="_Ref438205755"/>
      <w:bookmarkStart w:id="41" w:name="_Toc487536224"/>
      <w:r w:rsidRPr="004436FA">
        <w:rPr>
          <w:rFonts w:ascii="Times New Roman" w:hAnsi="Times New Roman"/>
          <w:color w:val="auto"/>
          <w:sz w:val="28"/>
          <w:szCs w:val="28"/>
        </w:rPr>
        <w:t xml:space="preserve">2.2. Аналитические подходы, используемые для проведения </w:t>
      </w:r>
      <w:proofErr w:type="spellStart"/>
      <w:r w:rsidRPr="004436FA">
        <w:rPr>
          <w:rFonts w:ascii="Times New Roman" w:hAnsi="Times New Roman"/>
          <w:color w:val="auto"/>
          <w:sz w:val="28"/>
          <w:szCs w:val="28"/>
        </w:rPr>
        <w:t>контрфактуального</w:t>
      </w:r>
      <w:proofErr w:type="spellEnd"/>
      <w:r w:rsidRPr="004436FA">
        <w:rPr>
          <w:rFonts w:ascii="Times New Roman" w:hAnsi="Times New Roman"/>
          <w:color w:val="auto"/>
          <w:sz w:val="28"/>
          <w:szCs w:val="28"/>
        </w:rPr>
        <w:t xml:space="preserve"> анализа</w:t>
      </w:r>
      <w:bookmarkEnd w:id="38"/>
      <w:r w:rsidRPr="004436FA">
        <w:rPr>
          <w:rFonts w:ascii="Times New Roman" w:hAnsi="Times New Roman"/>
          <w:color w:val="auto"/>
          <w:sz w:val="28"/>
          <w:szCs w:val="28"/>
        </w:rPr>
        <w:t>.</w:t>
      </w:r>
      <w:bookmarkEnd w:id="39"/>
      <w:bookmarkEnd w:id="40"/>
      <w:bookmarkEnd w:id="41"/>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некоторых случаях определенную информацию о том, что могло бы происходить на рынке при отсутствии нарушения, можно получить исходя из материалов антимонопольного или судебного дела. Например, могут быть свидетельства переписки между хозяйствующими субъектами, участвующими в ценовом </w:t>
      </w:r>
      <w:proofErr w:type="spellStart"/>
      <w:r w:rsidRPr="004436FA">
        <w:rPr>
          <w:rFonts w:ascii="Times New Roman" w:hAnsi="Times New Roman" w:cs="Times New Roman"/>
          <w:sz w:val="28"/>
          <w:szCs w:val="28"/>
        </w:rPr>
        <w:t>антиконкурентном</w:t>
      </w:r>
      <w:proofErr w:type="spellEnd"/>
      <w:r w:rsidRPr="004436FA">
        <w:rPr>
          <w:rFonts w:ascii="Times New Roman" w:hAnsi="Times New Roman" w:cs="Times New Roman"/>
          <w:sz w:val="28"/>
          <w:szCs w:val="28"/>
        </w:rPr>
        <w:t xml:space="preserve"> </w:t>
      </w:r>
      <w:r>
        <w:rPr>
          <w:rFonts w:ascii="Times New Roman" w:hAnsi="Times New Roman" w:cs="Times New Roman"/>
          <w:sz w:val="28"/>
          <w:szCs w:val="28"/>
        </w:rPr>
        <w:t>соглашении</w:t>
      </w:r>
      <w:r w:rsidRPr="004436FA">
        <w:rPr>
          <w:rFonts w:ascii="Times New Roman" w:hAnsi="Times New Roman" w:cs="Times New Roman"/>
          <w:sz w:val="28"/>
          <w:szCs w:val="28"/>
        </w:rPr>
        <w:t xml:space="preserve">, в которой оговаривается, насколько предполагалось повысить цены. Подобные сведения можно использовать для оценки того, насколько фактически были завышены цены в результате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Однако свидетельства подобного рода нечасто имеются на практике. В таких случаях особенно высока роль аналитических методов, позволяющих провести </w:t>
      </w:r>
      <w:proofErr w:type="spellStart"/>
      <w:r w:rsidRPr="004436FA">
        <w:rPr>
          <w:rFonts w:ascii="Times New Roman" w:hAnsi="Times New Roman" w:cs="Times New Roman"/>
          <w:sz w:val="28"/>
          <w:szCs w:val="28"/>
        </w:rPr>
        <w:t>контрфактуальный</w:t>
      </w:r>
      <w:proofErr w:type="spellEnd"/>
      <w:r w:rsidRPr="004436FA">
        <w:rPr>
          <w:rFonts w:ascii="Times New Roman" w:hAnsi="Times New Roman" w:cs="Times New Roman"/>
          <w:sz w:val="28"/>
          <w:szCs w:val="28"/>
        </w:rPr>
        <w:t xml:space="preserve"> анализ косвенным образом, с применением соответствующего экономического инструментария. Эти методы детально рассматриваются в данном разделе.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общем случае есть два типа аналитических методов, позволяющих провести гипотетическую оценку уровня цен и иных параметров рынка, которые могли бы возникнуть при отсутствии нарушения (</w:t>
      </w:r>
      <w:proofErr w:type="spellStart"/>
      <w:r w:rsidRPr="004436FA">
        <w:rPr>
          <w:rFonts w:ascii="Times New Roman" w:hAnsi="Times New Roman" w:cs="Times New Roman"/>
          <w:sz w:val="28"/>
          <w:szCs w:val="28"/>
        </w:rPr>
        <w:t>контрфактуальный</w:t>
      </w:r>
      <w:proofErr w:type="spellEnd"/>
      <w:r w:rsidRPr="004436FA">
        <w:rPr>
          <w:rFonts w:ascii="Times New Roman" w:hAnsi="Times New Roman" w:cs="Times New Roman"/>
          <w:sz w:val="28"/>
          <w:szCs w:val="28"/>
        </w:rPr>
        <w:t xml:space="preserve"> анал</w:t>
      </w:r>
      <w:r>
        <w:rPr>
          <w:rFonts w:ascii="Times New Roman" w:hAnsi="Times New Roman" w:cs="Times New Roman"/>
          <w:sz w:val="28"/>
          <w:szCs w:val="28"/>
        </w:rPr>
        <w:t>из):</w:t>
      </w:r>
    </w:p>
    <w:p w:rsidR="00DB066E" w:rsidRPr="004436FA" w:rsidRDefault="00DB066E" w:rsidP="00DB066E">
      <w:pPr>
        <w:pStyle w:val="ConsPlusNormal"/>
        <w:numPr>
          <w:ilvl w:val="0"/>
          <w:numId w:val="43"/>
        </w:numPr>
        <w:tabs>
          <w:tab w:val="left" w:pos="851"/>
        </w:tabs>
        <w:ind w:left="0"/>
        <w:jc w:val="both"/>
      </w:pPr>
      <w:r w:rsidRPr="004436FA">
        <w:t>Сравнительный экономический анализ.</w:t>
      </w:r>
    </w:p>
    <w:p w:rsidR="00DB066E" w:rsidRDefault="00DB066E" w:rsidP="00DB066E">
      <w:pPr>
        <w:pStyle w:val="ConsPlusNormal"/>
        <w:numPr>
          <w:ilvl w:val="0"/>
          <w:numId w:val="43"/>
        </w:numPr>
        <w:tabs>
          <w:tab w:val="left" w:pos="851"/>
        </w:tabs>
        <w:ind w:left="0"/>
        <w:jc w:val="both"/>
      </w:pPr>
      <w:r w:rsidRPr="004436FA">
        <w:t>Экономическое и финансовое моделирование.</w:t>
      </w:r>
    </w:p>
    <w:p w:rsidR="00DB066E" w:rsidRPr="00304B8F" w:rsidRDefault="00DB066E" w:rsidP="00DB066E">
      <w:pPr>
        <w:pStyle w:val="ConsPlusNormal"/>
        <w:tabs>
          <w:tab w:val="left" w:pos="851"/>
        </w:tabs>
        <w:jc w:val="both"/>
        <w:rPr>
          <w:sz w:val="20"/>
          <w:szCs w:val="20"/>
        </w:rPr>
      </w:pPr>
    </w:p>
    <w:p w:rsidR="00DB066E" w:rsidRDefault="00DB066E" w:rsidP="00DB066E">
      <w:pPr>
        <w:pStyle w:val="3"/>
        <w:spacing w:before="0" w:line="240" w:lineRule="auto"/>
        <w:ind w:firstLine="709"/>
        <w:jc w:val="both"/>
        <w:rPr>
          <w:rFonts w:ascii="Times New Roman" w:hAnsi="Times New Roman"/>
          <w:color w:val="auto"/>
          <w:sz w:val="28"/>
          <w:szCs w:val="28"/>
        </w:rPr>
      </w:pPr>
      <w:bookmarkStart w:id="42" w:name="_Toc487536225"/>
      <w:r w:rsidRPr="004436FA">
        <w:rPr>
          <w:rFonts w:ascii="Times New Roman" w:hAnsi="Times New Roman"/>
          <w:color w:val="auto"/>
          <w:sz w:val="28"/>
          <w:szCs w:val="28"/>
        </w:rPr>
        <w:t>2.2.1. Сравнительный экономический анализ.</w:t>
      </w:r>
      <w:bookmarkEnd w:id="42"/>
    </w:p>
    <w:p w:rsidR="00DB066E" w:rsidRPr="004436FA" w:rsidRDefault="00DB066E" w:rsidP="00DB066E">
      <w:pPr>
        <w:pStyle w:val="RBBBodytext"/>
        <w:spacing w:before="0" w:after="0" w:line="240" w:lineRule="auto"/>
        <w:rPr>
          <w:rFonts w:ascii="Times New Roman" w:hAnsi="Times New Roman" w:cs="Times New Roman"/>
          <w:sz w:val="28"/>
          <w:szCs w:val="28"/>
        </w:rPr>
      </w:pPr>
      <w:r w:rsidRPr="004436FA">
        <w:rPr>
          <w:rFonts w:ascii="Times New Roman" w:hAnsi="Times New Roman" w:cs="Times New Roman"/>
          <w:sz w:val="28"/>
          <w:szCs w:val="28"/>
        </w:rPr>
        <w:t>В основе всех методов, основанных на сравнительном анализе, лежит сопоставление основных рыночных характеристик и параметров рынка, которые фактически имели место в период нарушения, с теми, которые имели место:</w:t>
      </w:r>
    </w:p>
    <w:p w:rsidR="00DB066E" w:rsidRPr="004436FA" w:rsidRDefault="00DB066E" w:rsidP="00DB066E">
      <w:pPr>
        <w:pStyle w:val="ConsPlusNormal"/>
        <w:numPr>
          <w:ilvl w:val="0"/>
          <w:numId w:val="44"/>
        </w:numPr>
        <w:tabs>
          <w:tab w:val="left" w:pos="851"/>
        </w:tabs>
        <w:ind w:left="0"/>
        <w:jc w:val="both"/>
      </w:pPr>
      <w:r w:rsidRPr="004436FA">
        <w:t>до начала и/или после прекращения нарушения на рассматриваемом рынке;</w:t>
      </w:r>
    </w:p>
    <w:p w:rsidR="00DB066E" w:rsidRPr="004436FA" w:rsidRDefault="00DB066E" w:rsidP="00DB066E">
      <w:pPr>
        <w:pStyle w:val="ConsPlusNormal"/>
        <w:numPr>
          <w:ilvl w:val="0"/>
          <w:numId w:val="44"/>
        </w:numPr>
        <w:tabs>
          <w:tab w:val="left" w:pos="851"/>
        </w:tabs>
        <w:ind w:left="0"/>
        <w:jc w:val="both"/>
      </w:pPr>
      <w:r w:rsidRPr="004436FA">
        <w:t>на ином, но сопоставимом продуктовом и/или географическом рынке (в разные промежутки времени).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При наличии должного экономического обоснования разные эталоны сравнения </w:t>
      </w:r>
      <w:r>
        <w:rPr>
          <w:rFonts w:ascii="Times New Roman" w:hAnsi="Times New Roman" w:cs="Times New Roman"/>
          <w:sz w:val="28"/>
          <w:szCs w:val="28"/>
        </w:rPr>
        <w:t>(«до и после», «на ином рынке»</w:t>
      </w:r>
      <w:r w:rsidRPr="004436FA">
        <w:rPr>
          <w:rFonts w:ascii="Times New Roman" w:hAnsi="Times New Roman" w:cs="Times New Roman"/>
          <w:sz w:val="28"/>
          <w:szCs w:val="28"/>
        </w:rPr>
        <w:t xml:space="preserve"> и т.д.) можно комбинировать между собой. Бремя доказывания того, что такой комбинированный подход является обоснованным, возлагается на сторону, осуществляющую оценку убытков.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Логика сравнительного экономического </w:t>
      </w:r>
      <w:r w:rsidRPr="004436FA">
        <w:rPr>
          <w:rFonts w:ascii="Times New Roman" w:hAnsi="Times New Roman" w:cs="Times New Roman"/>
          <w:color w:val="000000"/>
          <w:sz w:val="28"/>
          <w:szCs w:val="28"/>
        </w:rPr>
        <w:t xml:space="preserve">анализа основывается на том, что для проведения </w:t>
      </w:r>
      <w:proofErr w:type="spellStart"/>
      <w:r w:rsidRPr="004436FA">
        <w:rPr>
          <w:rFonts w:ascii="Times New Roman" w:hAnsi="Times New Roman" w:cs="Times New Roman"/>
          <w:color w:val="000000"/>
          <w:sz w:val="28"/>
          <w:szCs w:val="28"/>
        </w:rPr>
        <w:t>контрфактуального</w:t>
      </w:r>
      <w:proofErr w:type="spellEnd"/>
      <w:r w:rsidRPr="004436FA">
        <w:rPr>
          <w:rFonts w:ascii="Times New Roman" w:hAnsi="Times New Roman" w:cs="Times New Roman"/>
          <w:color w:val="000000"/>
          <w:sz w:val="28"/>
          <w:szCs w:val="28"/>
        </w:rPr>
        <w:t xml:space="preserve"> анализа используются </w:t>
      </w:r>
      <w:r w:rsidRPr="004436FA">
        <w:rPr>
          <w:rFonts w:ascii="Times New Roman" w:hAnsi="Times New Roman" w:cs="Times New Roman"/>
          <w:i/>
          <w:color w:val="000000"/>
          <w:sz w:val="28"/>
          <w:szCs w:val="28"/>
          <w:u w:val="single"/>
        </w:rPr>
        <w:t>фактические данные</w:t>
      </w:r>
      <w:r w:rsidRPr="004436FA">
        <w:rPr>
          <w:rFonts w:ascii="Times New Roman" w:hAnsi="Times New Roman" w:cs="Times New Roman"/>
          <w:color w:val="000000"/>
          <w:sz w:val="28"/>
          <w:szCs w:val="28"/>
        </w:rPr>
        <w:t xml:space="preserve"> на сопоставимых рынках или на том же рынке, но в сопоставимой ситуации (</w:t>
      </w:r>
      <w:r>
        <w:rPr>
          <w:rFonts w:ascii="Times New Roman" w:hAnsi="Times New Roman" w:cs="Times New Roman"/>
          <w:color w:val="000000"/>
          <w:sz w:val="28"/>
          <w:szCs w:val="28"/>
        </w:rPr>
        <w:t>например</w:t>
      </w:r>
      <w:r w:rsidRPr="004436FA">
        <w:rPr>
          <w:rFonts w:ascii="Times New Roman" w:hAnsi="Times New Roman" w:cs="Times New Roman"/>
          <w:color w:val="000000"/>
          <w:sz w:val="28"/>
          <w:szCs w:val="28"/>
        </w:rPr>
        <w:t xml:space="preserve">, ином временном интервале). Основное требование к выбранному эталону сравнения заключается в том, что он должен обоснованно отражать ситуацию, которая гипотетически могла бы иметь </w:t>
      </w:r>
      <w:r w:rsidRPr="004436FA">
        <w:rPr>
          <w:rFonts w:ascii="Times New Roman" w:hAnsi="Times New Roman" w:cs="Times New Roman"/>
          <w:color w:val="000000"/>
          <w:sz w:val="28"/>
          <w:szCs w:val="28"/>
        </w:rPr>
        <w:lastRenderedPageBreak/>
        <w:t>место на исследуемом рынке в отсутствии нарушения</w:t>
      </w:r>
      <w:r w:rsidRPr="004436FA">
        <w:rPr>
          <w:rStyle w:val="ab"/>
          <w:rFonts w:ascii="Times New Roman" w:hAnsi="Times New Roman" w:cs="Times New Roman"/>
          <w:color w:val="000000"/>
          <w:sz w:val="28"/>
          <w:szCs w:val="28"/>
        </w:rPr>
        <w:footnoteReference w:id="21"/>
      </w:r>
      <w:r w:rsidRPr="004436F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Указанное</w:t>
      </w:r>
      <w:r w:rsidRPr="004436FA">
        <w:rPr>
          <w:rFonts w:ascii="Times New Roman" w:hAnsi="Times New Roman" w:cs="Times New Roman"/>
          <w:color w:val="000000"/>
          <w:sz w:val="28"/>
          <w:szCs w:val="28"/>
        </w:rPr>
        <w:t xml:space="preserve"> означает, что при проведении </w:t>
      </w:r>
      <w:r w:rsidRPr="004436FA">
        <w:rPr>
          <w:rFonts w:ascii="Times New Roman" w:hAnsi="Times New Roman" w:cs="Times New Roman"/>
          <w:sz w:val="28"/>
          <w:szCs w:val="28"/>
        </w:rPr>
        <w:t xml:space="preserve">сравнительного анализа соответствующим образом должны приниматься во внимание экономические факторы, которые могли бы вызвать разницу в исследуемых показателях (цены, доли рынка, уровень прибыльности и </w:t>
      </w:r>
      <w:r>
        <w:rPr>
          <w:rFonts w:ascii="Times New Roman" w:hAnsi="Times New Roman" w:cs="Times New Roman"/>
          <w:sz w:val="28"/>
          <w:szCs w:val="28"/>
        </w:rPr>
        <w:t>др</w:t>
      </w:r>
      <w:r w:rsidRPr="004436FA">
        <w:rPr>
          <w:rFonts w:ascii="Times New Roman" w:hAnsi="Times New Roman" w:cs="Times New Roman"/>
          <w:sz w:val="28"/>
          <w:szCs w:val="28"/>
        </w:rPr>
        <w:t xml:space="preserve">.), если бы нарушения не произошло.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Описываемые ниже подходы не являются исчерпывающими, а также могут дополнять друг друга. Подходы к оценке убытков различаются по сложности применения, по требованиям к данным, необходимым для проведения анализа, по используемым предпосылкам. Соответственно, во многих случаях нельзя выделить один «наилучший» подход.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Если для оценки убытков используются ряд подходов, и все они приводят к схожим результатам, то можно полагать, что такая оценка является относительно более надежной. Если же разные подходы приводят к существенно различным результатам, требуется анализировать причины различий и выбирать ту оценку, которая является наиболее обоснованной.</w:t>
      </w:r>
    </w:p>
    <w:p w:rsidR="00DB066E"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RBBBodytext"/>
        <w:spacing w:before="0" w:after="0" w:line="240" w:lineRule="auto"/>
        <w:jc w:val="center"/>
        <w:rPr>
          <w:rFonts w:ascii="Times New Roman" w:hAnsi="Times New Roman" w:cs="Times New Roman"/>
          <w:b/>
          <w:sz w:val="28"/>
          <w:szCs w:val="28"/>
        </w:rPr>
      </w:pPr>
      <w:r w:rsidRPr="004436FA">
        <w:rPr>
          <w:rFonts w:ascii="Times New Roman" w:hAnsi="Times New Roman" w:cs="Times New Roman"/>
          <w:b/>
          <w:sz w:val="28"/>
          <w:szCs w:val="28"/>
        </w:rPr>
        <w:t>Анализ «до и после»</w:t>
      </w:r>
    </w:p>
    <w:p w:rsidR="00DB066E" w:rsidRPr="004436FA" w:rsidRDefault="00DB066E" w:rsidP="00DB066E">
      <w:pPr>
        <w:pStyle w:val="RBBBodytext"/>
        <w:spacing w:before="0" w:after="0" w:line="240" w:lineRule="auto"/>
        <w:jc w:val="center"/>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color w:val="000000"/>
          <w:sz w:val="28"/>
          <w:szCs w:val="28"/>
        </w:rPr>
      </w:pPr>
      <w:r w:rsidRPr="004436FA">
        <w:rPr>
          <w:rFonts w:ascii="Times New Roman" w:hAnsi="Times New Roman" w:cs="Times New Roman"/>
          <w:sz w:val="28"/>
          <w:szCs w:val="28"/>
        </w:rPr>
        <w:t xml:space="preserve">Если известны экономические показатели (цены, доли рынка, уровень прибыльности и </w:t>
      </w:r>
      <w:r>
        <w:rPr>
          <w:rFonts w:ascii="Times New Roman" w:hAnsi="Times New Roman" w:cs="Times New Roman"/>
          <w:sz w:val="28"/>
          <w:szCs w:val="28"/>
        </w:rPr>
        <w:t>др</w:t>
      </w:r>
      <w:r w:rsidRPr="004436FA">
        <w:rPr>
          <w:rFonts w:ascii="Times New Roman" w:hAnsi="Times New Roman" w:cs="Times New Roman"/>
          <w:sz w:val="28"/>
          <w:szCs w:val="28"/>
        </w:rPr>
        <w:t>.), предшествовавшие периоду нарушения, то резонно ожидать, что при прочих равных условиях они остались бы на прежнем уровне и при отсутствии нарушения. При этом, если наблюдалась определенная динамика показателей (</w:t>
      </w:r>
      <w:r>
        <w:rPr>
          <w:rFonts w:ascii="Times New Roman" w:hAnsi="Times New Roman" w:cs="Times New Roman"/>
          <w:sz w:val="28"/>
          <w:szCs w:val="28"/>
        </w:rPr>
        <w:t>например</w:t>
      </w:r>
      <w:r w:rsidRPr="004436FA">
        <w:rPr>
          <w:rFonts w:ascii="Times New Roman" w:hAnsi="Times New Roman" w:cs="Times New Roman"/>
          <w:sz w:val="28"/>
          <w:szCs w:val="28"/>
        </w:rPr>
        <w:t xml:space="preserve">, рост или падение цен до нарушения), то резонно ожидать, что эта же самая динамика сохранилась бы и в сам период нарушения (если бы нарушения не было). Таким образом, для расчета гипотетических показателей, которые бы имели место при отсутствии нарушения, </w:t>
      </w:r>
      <w:r w:rsidRPr="004436FA">
        <w:rPr>
          <w:rFonts w:ascii="Times New Roman" w:hAnsi="Times New Roman" w:cs="Times New Roman"/>
          <w:color w:val="000000"/>
          <w:sz w:val="28"/>
          <w:szCs w:val="28"/>
        </w:rPr>
        <w:t xml:space="preserve">строится прогноз на основе прошлых показателей и предположений об их динамике. Данный подход называется </w:t>
      </w:r>
      <w:r w:rsidRPr="004436FA">
        <w:rPr>
          <w:rFonts w:ascii="Times New Roman" w:hAnsi="Times New Roman" w:cs="Times New Roman"/>
          <w:i/>
          <w:color w:val="000000"/>
          <w:sz w:val="28"/>
          <w:szCs w:val="28"/>
          <w:u w:val="single"/>
        </w:rPr>
        <w:t>экстраполяцией данных</w:t>
      </w:r>
      <w:r w:rsidRPr="004436FA">
        <w:rPr>
          <w:rFonts w:ascii="Times New Roman" w:hAnsi="Times New Roman" w:cs="Times New Roman"/>
          <w:color w:val="000000"/>
          <w:sz w:val="28"/>
          <w:szCs w:val="28"/>
        </w:rPr>
        <w:t>.</w:t>
      </w:r>
    </w:p>
    <w:p w:rsidR="00DB066E" w:rsidRPr="004436FA" w:rsidRDefault="00DB066E" w:rsidP="00DB066E">
      <w:pPr>
        <w:pStyle w:val="RBBBodytext"/>
        <w:spacing w:before="0" w:after="0" w:line="240" w:lineRule="auto"/>
        <w:ind w:firstLine="709"/>
        <w:rPr>
          <w:rFonts w:ascii="Times New Roman" w:hAnsi="Times New Roman" w:cs="Times New Roman"/>
          <w:color w:val="000000"/>
          <w:sz w:val="28"/>
          <w:szCs w:val="28"/>
        </w:rPr>
      </w:pPr>
      <w:r w:rsidRPr="004436FA">
        <w:rPr>
          <w:rFonts w:ascii="Times New Roman" w:hAnsi="Times New Roman" w:cs="Times New Roman"/>
          <w:color w:val="000000"/>
          <w:sz w:val="28"/>
          <w:szCs w:val="28"/>
        </w:rPr>
        <w:t xml:space="preserve">Если известны экономические показатели (цены, доли рынка, уровень прибыльности и </w:t>
      </w:r>
      <w:r>
        <w:rPr>
          <w:rFonts w:ascii="Times New Roman" w:hAnsi="Times New Roman" w:cs="Times New Roman"/>
          <w:color w:val="000000"/>
          <w:sz w:val="28"/>
          <w:szCs w:val="28"/>
        </w:rPr>
        <w:t>др</w:t>
      </w:r>
      <w:r w:rsidRPr="004436FA">
        <w:rPr>
          <w:rFonts w:ascii="Times New Roman" w:hAnsi="Times New Roman" w:cs="Times New Roman"/>
          <w:color w:val="000000"/>
          <w:sz w:val="28"/>
          <w:szCs w:val="28"/>
        </w:rPr>
        <w:t xml:space="preserve">.), имевшие место как до, так и после периода нарушения, то при прочих равных условиях </w:t>
      </w:r>
      <w:r>
        <w:rPr>
          <w:rFonts w:ascii="Times New Roman" w:hAnsi="Times New Roman" w:cs="Times New Roman"/>
          <w:color w:val="000000"/>
          <w:sz w:val="28"/>
          <w:szCs w:val="28"/>
        </w:rPr>
        <w:t>можно</w:t>
      </w:r>
      <w:r w:rsidRPr="004436FA">
        <w:rPr>
          <w:rFonts w:ascii="Times New Roman" w:hAnsi="Times New Roman" w:cs="Times New Roman"/>
          <w:color w:val="000000"/>
          <w:sz w:val="28"/>
          <w:szCs w:val="28"/>
        </w:rPr>
        <w:t xml:space="preserve"> ожидать, что при отсутствии нарушения эти показатели менялись бы постепенно, начиная с уровня, предшествовавшего нарушению, и заканчивая уровнем, установившимся после окончания нарушения. Данный подход к построению гипотетических показателей называется </w:t>
      </w:r>
      <w:r w:rsidRPr="004436FA">
        <w:rPr>
          <w:rFonts w:ascii="Times New Roman" w:hAnsi="Times New Roman" w:cs="Times New Roman"/>
          <w:i/>
          <w:color w:val="000000"/>
          <w:sz w:val="28"/>
          <w:szCs w:val="28"/>
          <w:u w:val="single"/>
        </w:rPr>
        <w:t>интерполяцией данных</w:t>
      </w:r>
      <w:r w:rsidRPr="004436FA">
        <w:rPr>
          <w:rFonts w:ascii="Times New Roman" w:hAnsi="Times New Roman" w:cs="Times New Roman"/>
          <w:color w:val="000000"/>
          <w:sz w:val="28"/>
          <w:szCs w:val="28"/>
        </w:rPr>
        <w:t xml:space="preserve">. </w:t>
      </w:r>
    </w:p>
    <w:p w:rsidR="00DB066E" w:rsidRPr="004436FA" w:rsidRDefault="00DB066E" w:rsidP="00DB066E">
      <w:pPr>
        <w:pStyle w:val="RBBBodytext"/>
        <w:spacing w:before="0" w:after="0" w:line="240" w:lineRule="auto"/>
        <w:ind w:firstLine="709"/>
        <w:rPr>
          <w:rFonts w:ascii="Times New Roman" w:hAnsi="Times New Roman" w:cs="Times New Roman"/>
          <w:color w:val="000000"/>
          <w:sz w:val="28"/>
          <w:szCs w:val="28"/>
        </w:rPr>
      </w:pPr>
      <w:r w:rsidRPr="004436FA">
        <w:rPr>
          <w:rFonts w:ascii="Times New Roman" w:hAnsi="Times New Roman" w:cs="Times New Roman"/>
          <w:color w:val="000000"/>
          <w:sz w:val="28"/>
          <w:szCs w:val="28"/>
        </w:rPr>
        <w:t xml:space="preserve">Простейшим вариантом интерполяции является </w:t>
      </w:r>
      <w:r w:rsidRPr="004436FA">
        <w:rPr>
          <w:rFonts w:ascii="Times New Roman" w:hAnsi="Times New Roman" w:cs="Times New Roman"/>
          <w:i/>
          <w:color w:val="000000"/>
          <w:sz w:val="28"/>
          <w:szCs w:val="28"/>
          <w:u w:val="single"/>
        </w:rPr>
        <w:t>линейная интерполяция</w:t>
      </w:r>
      <w:r w:rsidRPr="004436FA">
        <w:rPr>
          <w:rFonts w:ascii="Times New Roman" w:hAnsi="Times New Roman" w:cs="Times New Roman"/>
          <w:color w:val="000000"/>
          <w:sz w:val="28"/>
          <w:szCs w:val="28"/>
        </w:rPr>
        <w:t xml:space="preserve">, при которой предполагается, что исследуемые показатели при отсутствии нарушения растут или падают на одну и ту же величину в каждый период времени. Альтернативным вариантом является </w:t>
      </w:r>
      <w:r w:rsidRPr="004436FA">
        <w:rPr>
          <w:rFonts w:ascii="Times New Roman" w:hAnsi="Times New Roman" w:cs="Times New Roman"/>
          <w:i/>
          <w:color w:val="000000"/>
          <w:sz w:val="28"/>
          <w:szCs w:val="28"/>
          <w:u w:val="single"/>
        </w:rPr>
        <w:t xml:space="preserve">экспоненциальная </w:t>
      </w:r>
      <w:r w:rsidRPr="004436FA">
        <w:rPr>
          <w:rFonts w:ascii="Times New Roman" w:hAnsi="Times New Roman" w:cs="Times New Roman"/>
          <w:i/>
          <w:color w:val="000000"/>
          <w:sz w:val="28"/>
          <w:szCs w:val="28"/>
          <w:u w:val="single"/>
        </w:rPr>
        <w:lastRenderedPageBreak/>
        <w:t>интерполяция</w:t>
      </w:r>
      <w:r w:rsidRPr="004436FA">
        <w:rPr>
          <w:rFonts w:ascii="Times New Roman" w:hAnsi="Times New Roman" w:cs="Times New Roman"/>
          <w:color w:val="000000"/>
          <w:sz w:val="28"/>
          <w:szCs w:val="28"/>
        </w:rPr>
        <w:t>, при которой предполагается постоянный темп роста (снижения) исследуемого показателя.</w:t>
      </w:r>
    </w:p>
    <w:p w:rsidR="00DB066E" w:rsidRPr="004436FA" w:rsidRDefault="00DB066E" w:rsidP="00DB066E">
      <w:pPr>
        <w:pStyle w:val="RBBBoxTitle"/>
        <w:shd w:val="clear" w:color="auto" w:fill="DBE5F1"/>
        <w:spacing w:before="0" w:after="0" w:line="240" w:lineRule="auto"/>
        <w:rPr>
          <w:rFonts w:ascii="Times New Roman" w:hAnsi="Times New Roman" w:cs="Times New Roman"/>
          <w:sz w:val="28"/>
          <w:szCs w:val="28"/>
        </w:rPr>
      </w:pPr>
      <w:r w:rsidRPr="004436FA">
        <w:rPr>
          <w:rFonts w:ascii="Times New Roman" w:hAnsi="Times New Roman" w:cs="Times New Roman"/>
          <w:sz w:val="28"/>
          <w:szCs w:val="28"/>
        </w:rPr>
        <w:t>Экстраполяция и интерполяция цен</w:t>
      </w:r>
    </w:p>
    <w:p w:rsidR="00DB066E" w:rsidRPr="004436FA" w:rsidRDefault="00DB066E" w:rsidP="00DB066E">
      <w:pPr>
        <w:pStyle w:val="RBBBox"/>
        <w:shd w:val="clear" w:color="auto" w:fill="DBE5F1"/>
        <w:spacing w:before="0" w:after="0" w:line="240" w:lineRule="auto"/>
        <w:jc w:val="center"/>
        <w:rPr>
          <w:rFonts w:ascii="Times New Roman" w:hAnsi="Times New Roman" w:cs="Times New Roman"/>
          <w:sz w:val="28"/>
          <w:szCs w:val="28"/>
        </w:rPr>
      </w:pPr>
      <w:r w:rsidRPr="004436FA">
        <w:rPr>
          <w:rFonts w:ascii="Times New Roman" w:hAnsi="Times New Roman" w:cs="Times New Roman"/>
          <w:noProof/>
          <w:sz w:val="28"/>
          <w:szCs w:val="28"/>
        </w:rPr>
        <w:drawing>
          <wp:inline distT="0" distB="0" distL="0" distR="0">
            <wp:extent cx="2520315" cy="2520315"/>
            <wp:effectExtent l="0" t="0" r="0" b="0"/>
            <wp:docPr id="5" name="Chart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4436FA">
        <w:rPr>
          <w:rFonts w:ascii="Times New Roman" w:hAnsi="Times New Roman" w:cs="Times New Roman"/>
          <w:noProof/>
          <w:sz w:val="28"/>
          <w:szCs w:val="28"/>
        </w:rPr>
        <w:drawing>
          <wp:inline distT="0" distB="0" distL="0" distR="0">
            <wp:extent cx="2520315" cy="2520315"/>
            <wp:effectExtent l="0" t="0" r="0" b="0"/>
            <wp:docPr id="6" name="Chart 6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На левом графике представлена ситуация, когда ценовой сговор имел место в 2010</w:t>
      </w:r>
      <w:r>
        <w:rPr>
          <w:rFonts w:ascii="Times New Roman" w:hAnsi="Times New Roman" w:cs="Times New Roman"/>
          <w:sz w:val="28"/>
          <w:szCs w:val="28"/>
        </w:rPr>
        <w:t>-2014 гг. При этом</w:t>
      </w:r>
      <w:r w:rsidRPr="004436FA">
        <w:rPr>
          <w:rFonts w:ascii="Times New Roman" w:hAnsi="Times New Roman" w:cs="Times New Roman"/>
          <w:sz w:val="28"/>
          <w:szCs w:val="28"/>
        </w:rPr>
        <w:t xml:space="preserve"> данные по ценам, которые установились на рынке после окончания ценового сговора, отсутствуют. Учитывая, что в 2005-2009 гг. цены были относительно постоянны (на уровне 9-11 руб./ед.), средний уровень цен может браться в качестве той гипотетической цены, которая бы установилась при отсутствии нарушения (</w:t>
      </w:r>
      <w:r>
        <w:rPr>
          <w:rFonts w:ascii="Times New Roman" w:hAnsi="Times New Roman" w:cs="Times New Roman"/>
          <w:sz w:val="28"/>
          <w:szCs w:val="28"/>
        </w:rPr>
        <w:t>например</w:t>
      </w:r>
      <w:r w:rsidRPr="004436FA">
        <w:rPr>
          <w:rFonts w:ascii="Times New Roman" w:hAnsi="Times New Roman" w:cs="Times New Roman"/>
          <w:sz w:val="28"/>
          <w:szCs w:val="28"/>
        </w:rPr>
        <w:t>, 10 руб./ед.).</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На правом графике представлена ситуация с ценовым сговором, который имел место с начала 2008 г. по конец 2011 гг. В данном случае доступны как данные по ценам, предшествующие нарушению, так и данные по ценам, установившиеся по окончании нарушения. Учитывая относительно более высокий уровень цен в 2012-2014 гг. предполагается, что при отсутствии нарушения цена бы постепенно увеличивалась с 10 до 12 руб./ед.</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При сравнении исследуемых показателей в период нарушения с предшествующими или последующими периодами, методы экстраполяции и интерполяции необходимо дополнять анализом факторов, которые обусловливают (сезонные) изменения спроса и издержек. </w:t>
      </w:r>
      <w:r>
        <w:rPr>
          <w:rFonts w:ascii="Times New Roman" w:hAnsi="Times New Roman" w:cs="Times New Roman"/>
          <w:sz w:val="28"/>
          <w:szCs w:val="28"/>
        </w:rPr>
        <w:t>В случае</w:t>
      </w:r>
      <w:r w:rsidRPr="004436FA">
        <w:rPr>
          <w:rFonts w:ascii="Times New Roman" w:hAnsi="Times New Roman" w:cs="Times New Roman"/>
          <w:sz w:val="28"/>
          <w:szCs w:val="28"/>
        </w:rPr>
        <w:t>, если основные факторы производства обращаются на конкурентных рынках, и существуют биржевые или внебиржевые индикаторы цен на данные факторы производства, то эти факторы необходимо соответствующим образом принимать во внимание при экстраполяции или интерполяции данных, улучшая тем самым оценку убытка.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Также при выборе данных для анализа необходимо учитывать экономические факторы, которые могут влиять на надежность данных. Например, если нарушение имело место в течение длительного промежутка времени, то уровень цен до периода нарушения может быть </w:t>
      </w:r>
      <w:r>
        <w:rPr>
          <w:rFonts w:ascii="Times New Roman" w:hAnsi="Times New Roman" w:cs="Times New Roman"/>
          <w:sz w:val="28"/>
          <w:szCs w:val="28"/>
        </w:rPr>
        <w:t>нерелевантным</w:t>
      </w:r>
      <w:r w:rsidRPr="004436FA">
        <w:rPr>
          <w:rFonts w:ascii="Times New Roman" w:hAnsi="Times New Roman" w:cs="Times New Roman"/>
          <w:sz w:val="28"/>
          <w:szCs w:val="28"/>
        </w:rPr>
        <w:t xml:space="preserve"> для оценки последующих периодов, поскольку потребительские предпочтения, издержки, а также иные параметры рынка и конкурентной среды могли существенно измениться с течением времени.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lastRenderedPageBreak/>
        <w:t>Экономические показатели, установившиеся после нарушения, могут быть как выше, так и ниже тех экономических показателей, которые бы сложились в тот же период, но при отсутствии предшествующего нарушения. Например, если имелось картельное соглашение об установлении, поддержании цен на определенном уровне, то после его прекращения можно ожидать более ожесточенную ценовую конкуренцию и, соответственно, относительно более низкий уровень цен, чем если бы сговора не было вовсе. И наоборот, при сговоре хозяйствующие субъекты могли сообщить друг другу конфиденциальную информацию (например, о собственных издержках), знание которой может привести к относительно более высоким ценам даже после окончания сговора. Все эти аспекты могут оказывать влияние на оценку убытка и должны быть соответствующим образом учтены в расчетах.</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RBBBodytext"/>
        <w:spacing w:before="0" w:after="0" w:line="240" w:lineRule="auto"/>
        <w:jc w:val="center"/>
        <w:rPr>
          <w:rFonts w:ascii="Times New Roman" w:hAnsi="Times New Roman" w:cs="Times New Roman"/>
          <w:b/>
          <w:sz w:val="28"/>
          <w:szCs w:val="28"/>
        </w:rPr>
      </w:pPr>
      <w:r w:rsidRPr="004436FA">
        <w:rPr>
          <w:rFonts w:ascii="Times New Roman" w:hAnsi="Times New Roman" w:cs="Times New Roman"/>
          <w:b/>
          <w:sz w:val="28"/>
          <w:szCs w:val="28"/>
        </w:rPr>
        <w:t>Анализ сопоставимых рынков</w:t>
      </w:r>
    </w:p>
    <w:p w:rsidR="00DB066E" w:rsidRPr="004436FA" w:rsidRDefault="00DB066E" w:rsidP="00DB066E">
      <w:pPr>
        <w:pStyle w:val="RBBBodytext"/>
        <w:spacing w:before="0" w:after="0" w:line="240" w:lineRule="auto"/>
        <w:jc w:val="center"/>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Исследуемые экономические показатели (цены, доли рынка, уровень прибыльности и </w:t>
      </w:r>
      <w:r>
        <w:rPr>
          <w:rFonts w:ascii="Times New Roman" w:hAnsi="Times New Roman" w:cs="Times New Roman"/>
          <w:sz w:val="28"/>
          <w:szCs w:val="28"/>
        </w:rPr>
        <w:t>др</w:t>
      </w:r>
      <w:r w:rsidRPr="004436FA">
        <w:rPr>
          <w:rFonts w:ascii="Times New Roman" w:hAnsi="Times New Roman" w:cs="Times New Roman"/>
          <w:sz w:val="28"/>
          <w:szCs w:val="28"/>
        </w:rPr>
        <w:t>.) можно также сравнивать с аналогичными показателями на сопоставимых товарных рынках. В качестве сопоставимого товарного рынка может выступать:</w:t>
      </w:r>
    </w:p>
    <w:p w:rsidR="00DB066E" w:rsidRPr="004436FA" w:rsidRDefault="00DB066E" w:rsidP="00DB066E">
      <w:pPr>
        <w:pStyle w:val="ConsPlusNormal"/>
        <w:numPr>
          <w:ilvl w:val="0"/>
          <w:numId w:val="45"/>
        </w:numPr>
        <w:tabs>
          <w:tab w:val="left" w:pos="851"/>
        </w:tabs>
        <w:ind w:left="0"/>
        <w:jc w:val="both"/>
      </w:pPr>
      <w:r w:rsidRPr="004436FA">
        <w:t>рынок исследуемого товара (услуги), но с другими географическими границами;</w:t>
      </w:r>
    </w:p>
    <w:p w:rsidR="00DB066E" w:rsidRPr="004436FA" w:rsidRDefault="00DB066E" w:rsidP="00DB066E">
      <w:pPr>
        <w:pStyle w:val="ConsPlusNormal"/>
        <w:numPr>
          <w:ilvl w:val="0"/>
          <w:numId w:val="45"/>
        </w:numPr>
        <w:tabs>
          <w:tab w:val="left" w:pos="851"/>
        </w:tabs>
        <w:ind w:left="0"/>
        <w:jc w:val="both"/>
      </w:pPr>
      <w:r w:rsidRPr="004436FA">
        <w:t>рынок другого товара (услуги), сопоставимый с исследуемым рынком по числу и характеру покупателей и продавцов, условиям обращения товара и условиям доступа на рынок, государственному регулированию.</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Выбор метода сравнения на практике зависит от наличия соответствующих данных, от наличия предположительно сопоставимых рынков, от степени их сопоставимости и от других обстоятельств дела. Например, если есть предположение, что на исследуемом рынке спрос претерпевал существенные изменения в период нарушения, но детальные данные по спросу отсутствуют, то какое-либо сравнение без учета колебаний спроса будет ненадежным. В этом случае сравнение с аналогичными показателями на сопоставимом товарном рынке, подверженном сходным колебаниям спроса, будет более предпочтительным.</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При сравнении экономических показателей на исследуемом рынке в период нарушения с аналогичными показателями на других</w:t>
      </w:r>
      <w:r>
        <w:rPr>
          <w:rFonts w:ascii="Times New Roman" w:hAnsi="Times New Roman" w:cs="Times New Roman"/>
          <w:sz w:val="28"/>
          <w:szCs w:val="28"/>
        </w:rPr>
        <w:t>, предположительно сопоставимых</w:t>
      </w:r>
      <w:r w:rsidRPr="004436FA">
        <w:rPr>
          <w:rFonts w:ascii="Times New Roman" w:hAnsi="Times New Roman" w:cs="Times New Roman"/>
          <w:sz w:val="28"/>
          <w:szCs w:val="28"/>
        </w:rPr>
        <w:t xml:space="preserve"> товарных рынках должны выполняться определенные базовые критерии. Во-первых, рынки должны характеризоваться сопоставимостью как в плане спроса (уровень переговорной власти потребителей, их предпочтений</w:t>
      </w:r>
      <w:r>
        <w:rPr>
          <w:rFonts w:ascii="Times New Roman" w:hAnsi="Times New Roman" w:cs="Times New Roman"/>
          <w:sz w:val="28"/>
          <w:szCs w:val="28"/>
        </w:rPr>
        <w:t>,</w:t>
      </w:r>
      <w:r w:rsidRPr="004436FA">
        <w:rPr>
          <w:rFonts w:ascii="Times New Roman" w:hAnsi="Times New Roman" w:cs="Times New Roman"/>
          <w:sz w:val="28"/>
          <w:szCs w:val="28"/>
        </w:rPr>
        <w:t xml:space="preserve"> способности платить и </w:t>
      </w:r>
      <w:r>
        <w:rPr>
          <w:rFonts w:ascii="Times New Roman" w:hAnsi="Times New Roman" w:cs="Times New Roman"/>
          <w:sz w:val="28"/>
          <w:szCs w:val="28"/>
        </w:rPr>
        <w:t>др</w:t>
      </w:r>
      <w:r w:rsidRPr="004436FA">
        <w:rPr>
          <w:rFonts w:ascii="Times New Roman" w:hAnsi="Times New Roman" w:cs="Times New Roman"/>
          <w:sz w:val="28"/>
          <w:szCs w:val="28"/>
        </w:rPr>
        <w:t xml:space="preserve">.), так и в плане  предложения (издержек, тарифов, наценок и </w:t>
      </w:r>
      <w:r>
        <w:rPr>
          <w:rFonts w:ascii="Times New Roman" w:hAnsi="Times New Roman" w:cs="Times New Roman"/>
          <w:sz w:val="28"/>
          <w:szCs w:val="28"/>
        </w:rPr>
        <w:t>др</w:t>
      </w:r>
      <w:r w:rsidRPr="004436FA">
        <w:rPr>
          <w:rFonts w:ascii="Times New Roman" w:hAnsi="Times New Roman" w:cs="Times New Roman"/>
          <w:sz w:val="28"/>
          <w:szCs w:val="28"/>
        </w:rPr>
        <w:t xml:space="preserve">.). Во-вторых, должна иметь место сопоставимость в отношении структуры рынка/отрасли и степени конкурентной борьбы. </w:t>
      </w:r>
      <w:r>
        <w:rPr>
          <w:rFonts w:ascii="Times New Roman" w:hAnsi="Times New Roman" w:cs="Times New Roman"/>
          <w:sz w:val="28"/>
          <w:szCs w:val="28"/>
        </w:rPr>
        <w:t>В случае</w:t>
      </w:r>
      <w:r w:rsidRPr="004436FA">
        <w:rPr>
          <w:rFonts w:ascii="Times New Roman" w:hAnsi="Times New Roman" w:cs="Times New Roman"/>
          <w:sz w:val="28"/>
          <w:szCs w:val="28"/>
        </w:rPr>
        <w:t xml:space="preserve">, если нарушение имело место на </w:t>
      </w:r>
      <w:r>
        <w:rPr>
          <w:rFonts w:ascii="Times New Roman" w:hAnsi="Times New Roman" w:cs="Times New Roman"/>
          <w:sz w:val="28"/>
          <w:szCs w:val="28"/>
        </w:rPr>
        <w:t>высоко</w:t>
      </w:r>
      <w:r w:rsidRPr="004436FA">
        <w:rPr>
          <w:rFonts w:ascii="Times New Roman" w:hAnsi="Times New Roman" w:cs="Times New Roman"/>
          <w:sz w:val="28"/>
          <w:szCs w:val="28"/>
        </w:rPr>
        <w:t xml:space="preserve"> концентрированном рынке, то было бы ошибочно </w:t>
      </w:r>
      <w:r w:rsidRPr="004436FA">
        <w:rPr>
          <w:rFonts w:ascii="Times New Roman" w:hAnsi="Times New Roman" w:cs="Times New Roman"/>
          <w:sz w:val="28"/>
          <w:szCs w:val="28"/>
        </w:rPr>
        <w:lastRenderedPageBreak/>
        <w:t>проводить сравнение с неким высоко-конкурентным рынком, даже если в остальном рынки являются сопоставимыми. Такое сравнение приведет к переоценке фактического убытка (см. далее вставку «Метод разностей»).</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Важно отметить, что чем более сопоставимым является выбранный для сравнения товарный рынок, тем более точной может казаться оценка убытка (при прочих равных условиях). Однако при этом можно ожидать и более высокий уровень взаимозаменяемости со стороны спроса между более близкими товарными рынками. Как следствие, при наличии высокой степени взаимозаменяемости между рассматриваемыми (сопоставимыми) рынками оценка убытка  может быть искажена.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качестве примера предположим, что на одном рынке имело место нарушение, приведшее к необоснованно высоким ценам. Тогда логично ожидать, что часть потребителей переключится на сопоставимый товарный рынок, что в свою очередь приведет к росту спроса и росту цен на сопоставимом товарном рынке. Вследствие этого, оценка убытка, основанная на сравнении цен между этими двумя рынками, будет занижена и должна рассматриваться как консервативная. Разумеется, это не должно служить препятствием для взыскания убытка, если он рассчитан пострадавшим лицом таким образом, поскольку данный подход не нарушает интересов ответчика.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RBBBodytext"/>
        <w:spacing w:before="0" w:after="0" w:line="240" w:lineRule="auto"/>
        <w:jc w:val="center"/>
        <w:rPr>
          <w:rFonts w:ascii="Times New Roman" w:hAnsi="Times New Roman" w:cs="Times New Roman"/>
          <w:b/>
          <w:sz w:val="28"/>
          <w:szCs w:val="28"/>
        </w:rPr>
      </w:pPr>
      <w:bookmarkStart w:id="43" w:name="_Ref405282760"/>
      <w:r w:rsidRPr="004436FA">
        <w:rPr>
          <w:rFonts w:ascii="Times New Roman" w:hAnsi="Times New Roman" w:cs="Times New Roman"/>
          <w:b/>
          <w:sz w:val="28"/>
          <w:szCs w:val="28"/>
        </w:rPr>
        <w:t>Аналитические (эконометрические) методы, применяемые для анализа сопоставимых рынков и анализа «до и после»</w:t>
      </w:r>
      <w:bookmarkEnd w:id="43"/>
    </w:p>
    <w:p w:rsidR="00DB066E" w:rsidRPr="004436FA" w:rsidRDefault="00DB066E" w:rsidP="00DB066E">
      <w:pPr>
        <w:pStyle w:val="RBBBodytext"/>
        <w:spacing w:before="0" w:after="0" w:line="240" w:lineRule="auto"/>
        <w:jc w:val="center"/>
        <w:rPr>
          <w:rFonts w:ascii="Times New Roman" w:hAnsi="Times New Roman" w:cs="Times New Roman"/>
          <w:b/>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Кроме расчета простых средних, или экстраполяции или интерполяции данных, для проведения сравнительного анализа можно также применять эконометрические методы. Их использование упрощает анализ, когда имеются несколько переменных, одновременно оказывающих влияние на рассматриваемые экономические показатели. </w:t>
      </w:r>
      <w:r>
        <w:rPr>
          <w:rFonts w:ascii="Times New Roman" w:hAnsi="Times New Roman" w:cs="Times New Roman"/>
          <w:sz w:val="28"/>
          <w:szCs w:val="28"/>
        </w:rPr>
        <w:t>В случае</w:t>
      </w:r>
      <w:r w:rsidRPr="004436FA">
        <w:rPr>
          <w:rFonts w:ascii="Times New Roman" w:hAnsi="Times New Roman" w:cs="Times New Roman"/>
          <w:sz w:val="28"/>
          <w:szCs w:val="28"/>
        </w:rPr>
        <w:t>, если речь идет об анализе цен, и если итоговая цена зависит от нескольких факторов производства, то потребуется оценить, как изменение цен на данные факторы производства отражается на цене конечного товара при отсутствии нарушения. Стандартный регрессионный анализ позволяет осуществить такую оценку исходя из цен, предшествующих нарушению, или исходя из цен на сопоставимых товарных рынках.</w:t>
      </w:r>
      <w:r w:rsidRPr="004436FA">
        <w:rPr>
          <w:rStyle w:val="ab"/>
          <w:rFonts w:ascii="Times New Roman" w:hAnsi="Times New Roman" w:cs="Times New Roman"/>
          <w:sz w:val="28"/>
          <w:szCs w:val="28"/>
        </w:rPr>
        <w:footnoteReference w:id="22"/>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Использование эконометрических методов</w:t>
      </w:r>
      <w:r w:rsidRPr="004436FA" w:rsidDel="001F1A97">
        <w:rPr>
          <w:rFonts w:ascii="Times New Roman" w:hAnsi="Times New Roman" w:cs="Times New Roman"/>
          <w:sz w:val="28"/>
          <w:szCs w:val="28"/>
        </w:rPr>
        <w:t xml:space="preserve"> </w:t>
      </w:r>
      <w:r w:rsidRPr="004436FA">
        <w:rPr>
          <w:rFonts w:ascii="Times New Roman" w:hAnsi="Times New Roman" w:cs="Times New Roman"/>
          <w:sz w:val="28"/>
          <w:szCs w:val="28"/>
        </w:rPr>
        <w:t>позволять учесть случайные колебания в ценах или иных экономических показателях, которые не объясняются имеющимися данными. Учет данных колебаний позволяет оценить надежность оценки размера убытка. Иными словами, можно не просто оценить ожидаемый размер убытка в X руб., а можно утверждать, что с определенной вероятностью убыток составил от Y до Z руб.</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lastRenderedPageBreak/>
        <w:t xml:space="preserve">Нужно подчеркнуть, что сопоставимые рынки никогда не являются в точности идентичными. Эти различия необходимо должным образом учитывать при оценке убытков. Для этого возможно использование подходов, в которых сравнительный анализ по времени и сравнительный анализ с другими товарными рынками дополняют друг друга.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Например</w:t>
      </w:r>
      <w:r w:rsidRPr="004436FA">
        <w:rPr>
          <w:rFonts w:ascii="Times New Roman" w:hAnsi="Times New Roman" w:cs="Times New Roman"/>
          <w:sz w:val="28"/>
          <w:szCs w:val="28"/>
        </w:rPr>
        <w:t xml:space="preserve">, путем сравнения экономических показателей на рассматриваемом рынке до периода нарушения с экономическими показателями </w:t>
      </w:r>
      <w:r>
        <w:rPr>
          <w:rFonts w:ascii="Times New Roman" w:hAnsi="Times New Roman" w:cs="Times New Roman"/>
          <w:sz w:val="28"/>
          <w:szCs w:val="28"/>
        </w:rPr>
        <w:t>на сопоставимом товарном рынке</w:t>
      </w:r>
      <w:r w:rsidRPr="004436FA">
        <w:rPr>
          <w:rFonts w:ascii="Times New Roman" w:hAnsi="Times New Roman" w:cs="Times New Roman"/>
          <w:sz w:val="28"/>
          <w:szCs w:val="28"/>
        </w:rPr>
        <w:t xml:space="preserve"> можно установить относительную разницу в этих показателях между двумя рынками. В некоторых случаях </w:t>
      </w:r>
      <w:r>
        <w:rPr>
          <w:rFonts w:ascii="Times New Roman" w:hAnsi="Times New Roman" w:cs="Times New Roman"/>
          <w:sz w:val="28"/>
          <w:szCs w:val="28"/>
        </w:rPr>
        <w:t>можно</w:t>
      </w:r>
      <w:r w:rsidRPr="004436FA">
        <w:rPr>
          <w:rFonts w:ascii="Times New Roman" w:hAnsi="Times New Roman" w:cs="Times New Roman"/>
          <w:sz w:val="28"/>
          <w:szCs w:val="28"/>
        </w:rPr>
        <w:t xml:space="preserve"> ожидать, что разница в рассматриваемых показателях преобладала бы в нормальных условиях, если бы нарушения не было. Соответственно, беря значение экономического показателя на сопоставимом товарном рынке в период нарушения за основу, и прибавляя указанную разницу, можно найти то значение экономического показателя, которое бы установилось на исследуемом рынке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Поскольку в таком случае проводится анализ не собственно экономических показателей, а разностей между ними, данный подход часто именуется методом разностей.</w:t>
      </w:r>
      <w:r w:rsidRPr="004436FA">
        <w:rPr>
          <w:rStyle w:val="ab"/>
          <w:rFonts w:ascii="Times New Roman" w:hAnsi="Times New Roman" w:cs="Times New Roman"/>
          <w:sz w:val="28"/>
          <w:szCs w:val="28"/>
        </w:rPr>
        <w:footnoteReference w:id="23"/>
      </w:r>
      <w:r w:rsidRPr="004436FA">
        <w:rPr>
          <w:rFonts w:ascii="Times New Roman" w:hAnsi="Times New Roman" w:cs="Times New Roman"/>
          <w:sz w:val="28"/>
          <w:szCs w:val="28"/>
          <w:vertAlign w:val="superscript"/>
        </w:rPr>
        <w:t xml:space="preserve"> </w:t>
      </w:r>
      <w:r w:rsidRPr="004436FA">
        <w:rPr>
          <w:rFonts w:ascii="Times New Roman" w:hAnsi="Times New Roman" w:cs="Times New Roman"/>
          <w:sz w:val="28"/>
          <w:szCs w:val="28"/>
        </w:rPr>
        <w:t>Этот анализ позволяет учесть общие изменения в издержках или в спросе между рынками с течением времени. Метод разностей можно применять с различной степенью сложности, в том числе используя эконометрический инструментарий.</w:t>
      </w:r>
    </w:p>
    <w:p w:rsidR="00DB066E" w:rsidRPr="004436FA" w:rsidRDefault="00DB066E" w:rsidP="00DB066E">
      <w:pPr>
        <w:pStyle w:val="RBBBoxTitle"/>
        <w:shd w:val="clear" w:color="auto" w:fill="DBE5F1"/>
        <w:spacing w:before="0" w:after="0" w:line="240" w:lineRule="auto"/>
        <w:rPr>
          <w:rFonts w:ascii="Times New Roman" w:hAnsi="Times New Roman" w:cs="Times New Roman"/>
          <w:sz w:val="28"/>
          <w:szCs w:val="28"/>
        </w:rPr>
      </w:pPr>
      <w:r w:rsidRPr="004436FA">
        <w:rPr>
          <w:rFonts w:ascii="Times New Roman" w:hAnsi="Times New Roman" w:cs="Times New Roman"/>
          <w:sz w:val="28"/>
          <w:szCs w:val="28"/>
        </w:rPr>
        <w:t>Метод разностей</w:t>
      </w:r>
    </w:p>
    <w:p w:rsidR="00DB066E" w:rsidRPr="004436FA" w:rsidRDefault="00DB066E" w:rsidP="00DB066E">
      <w:pPr>
        <w:pStyle w:val="RBBBox"/>
        <w:shd w:val="clear" w:color="auto" w:fill="DBE5F1"/>
        <w:spacing w:before="0" w:after="0" w:line="240" w:lineRule="auto"/>
        <w:jc w:val="center"/>
        <w:rPr>
          <w:rFonts w:ascii="Times New Roman" w:hAnsi="Times New Roman" w:cs="Times New Roman"/>
          <w:sz w:val="28"/>
          <w:szCs w:val="28"/>
        </w:rPr>
      </w:pPr>
      <w:r w:rsidRPr="004436FA">
        <w:rPr>
          <w:rFonts w:ascii="Times New Roman" w:hAnsi="Times New Roman" w:cs="Times New Roman"/>
          <w:noProof/>
          <w:sz w:val="28"/>
          <w:szCs w:val="28"/>
        </w:rPr>
        <w:drawing>
          <wp:inline distT="0" distB="0" distL="0" distR="0">
            <wp:extent cx="3244215" cy="2520315"/>
            <wp:effectExtent l="0" t="0" r="0" b="0"/>
            <wp:docPr id="7"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регионе А оперируют 3 хозяйствующих субъекта. С начала 2008 г. данные хозяйствующие субъекты заключили ценовое картельное соглашение, что привело к росту цен на определенный продукт. Сговор был прекращен к концу 2012 г., когда по обращению покупателей Федеральная антимонопольная служба начала рассмотрение дела о нарушении части 1 статьи 11 </w:t>
      </w:r>
      <w:r w:rsidRPr="004436FA">
        <w:rPr>
          <w:rFonts w:ascii="Times New Roman" w:hAnsi="Times New Roman"/>
          <w:sz w:val="28"/>
          <w:szCs w:val="28"/>
        </w:rPr>
        <w:t>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cs="Times New Roman"/>
          <w:sz w:val="28"/>
          <w:szCs w:val="28"/>
        </w:rPr>
        <w:t xml:space="preserve"> в отношении данных хозяйствующих субъектов.</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lastRenderedPageBreak/>
        <w:t>Тот же самый товар продается в соседнем регионе Б, который не был затронут ценовым сговором. Потребительский спрос в регионе Б сопоставим со спросом в регионе А, и производители сталкиваются с идентичными издержками при производстве товара. Однако в регионе Б оперируют 10 хозяйствующих субъектов. Цены в регионе Б, в результате более сильной конкуренции, ниже цен в регионе А вне зависимости от наличия или отсутствия ценового картельного соглашения в регионе А. Соответственно, если непосредственно брать цены на сопоставимом товарном рынке в регионе Б как гипотетические цены, которые бы сложились в 2008-2012 гг. в регионе А при отсутствии нарушения, то оценка убытков потребителей, вызванных нарушением, будет существенно завышена.</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Цены в регионах А и Б имели одинаковую динамику в 2005-2007 гг. с той лишь разницей, что цены в регионе А были на 2 рубля выше цен региона Б. Резонно предположить, что данная зависимость не изменилась бы и в 2008-2012 гг. при отсутствии ценового сговора. Соответственно, в качестве </w:t>
      </w:r>
      <w:proofErr w:type="spellStart"/>
      <w:r w:rsidRPr="004436FA">
        <w:rPr>
          <w:rFonts w:ascii="Times New Roman" w:hAnsi="Times New Roman" w:cs="Times New Roman"/>
          <w:sz w:val="28"/>
          <w:szCs w:val="28"/>
        </w:rPr>
        <w:t>контрфактуальной</w:t>
      </w:r>
      <w:proofErr w:type="spellEnd"/>
      <w:r w:rsidRPr="004436FA">
        <w:rPr>
          <w:rFonts w:ascii="Times New Roman" w:hAnsi="Times New Roman" w:cs="Times New Roman"/>
          <w:sz w:val="28"/>
          <w:szCs w:val="28"/>
        </w:rPr>
        <w:t xml:space="preserve"> цены региона А можно брать цену региона Б, прибавляя к ней 2 руб./ед. для учета различий в количестве хозяйствующих субъектов и уровне конкуренции между двумя регионами.</w:t>
      </w:r>
    </w:p>
    <w:p w:rsidR="00DB066E" w:rsidRDefault="00DB066E" w:rsidP="00DB066E">
      <w:pPr>
        <w:pStyle w:val="3"/>
        <w:spacing w:before="0" w:line="240" w:lineRule="auto"/>
        <w:ind w:firstLine="709"/>
        <w:jc w:val="both"/>
        <w:rPr>
          <w:rFonts w:ascii="Times New Roman" w:hAnsi="Times New Roman"/>
          <w:color w:val="auto"/>
          <w:sz w:val="28"/>
          <w:szCs w:val="28"/>
        </w:rPr>
      </w:pPr>
      <w:bookmarkStart w:id="44" w:name="_Toc487536226"/>
      <w:r w:rsidRPr="004436FA">
        <w:rPr>
          <w:rFonts w:ascii="Times New Roman" w:hAnsi="Times New Roman"/>
          <w:color w:val="auto"/>
          <w:sz w:val="28"/>
          <w:szCs w:val="28"/>
        </w:rPr>
        <w:t>2.2.2. Экономическое и финансовое моделирование.</w:t>
      </w:r>
      <w:bookmarkEnd w:id="44"/>
    </w:p>
    <w:p w:rsidR="00DB066E" w:rsidRPr="00043AAE" w:rsidRDefault="00DB066E" w:rsidP="00DB066E">
      <w:pPr>
        <w:spacing w:after="0" w:line="240" w:lineRule="auto"/>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roofErr w:type="spellStart"/>
      <w:r w:rsidRPr="004436FA">
        <w:rPr>
          <w:rFonts w:ascii="Times New Roman" w:hAnsi="Times New Roman" w:cs="Times New Roman"/>
          <w:sz w:val="28"/>
          <w:szCs w:val="28"/>
        </w:rPr>
        <w:t>Контрфактуальный</w:t>
      </w:r>
      <w:proofErr w:type="spellEnd"/>
      <w:r w:rsidRPr="004436FA">
        <w:rPr>
          <w:rFonts w:ascii="Times New Roman" w:hAnsi="Times New Roman" w:cs="Times New Roman"/>
          <w:sz w:val="28"/>
          <w:szCs w:val="28"/>
        </w:rPr>
        <w:t xml:space="preserve"> анализ также можно проводить на основе экономического и финансового моделирования. Более детально эти методы рассматриваются ниже.</w:t>
      </w:r>
    </w:p>
    <w:p w:rsidR="00DB066E" w:rsidRPr="004436FA" w:rsidRDefault="00DB066E" w:rsidP="00DB066E">
      <w:pPr>
        <w:pStyle w:val="RBBBodytext"/>
        <w:spacing w:before="0" w:after="0" w:line="240" w:lineRule="auto"/>
        <w:ind w:firstLine="709"/>
        <w:rPr>
          <w:rFonts w:ascii="Times New Roman" w:hAnsi="Times New Roman" w:cs="Times New Roman"/>
          <w:b/>
          <w:sz w:val="28"/>
          <w:szCs w:val="28"/>
          <w:u w:val="single"/>
        </w:rPr>
      </w:pPr>
    </w:p>
    <w:p w:rsidR="00DB066E" w:rsidRPr="004436FA" w:rsidRDefault="00DB066E" w:rsidP="00DB066E">
      <w:pPr>
        <w:pStyle w:val="RBBBodytext"/>
        <w:spacing w:before="0" w:after="0" w:line="240" w:lineRule="auto"/>
        <w:jc w:val="center"/>
        <w:rPr>
          <w:rFonts w:ascii="Times New Roman" w:hAnsi="Times New Roman" w:cs="Times New Roman"/>
          <w:sz w:val="28"/>
          <w:szCs w:val="28"/>
        </w:rPr>
      </w:pPr>
      <w:r w:rsidRPr="004436FA">
        <w:rPr>
          <w:rFonts w:ascii="Times New Roman" w:hAnsi="Times New Roman" w:cs="Times New Roman"/>
          <w:b/>
          <w:sz w:val="28"/>
          <w:szCs w:val="28"/>
        </w:rPr>
        <w:t>Финансовое моделирование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Финансовое моделирование основывается на оценке нормы прибыли и других финансовых показателей. Например, если речь идет об анализе цен, то цена может рассматриваться как сумма издержек (себестоимости) производства и соответствующей торговой наценки. Тогда для расчета цен, которые сложились бы при отсутствии нарушения, требуется оценить себестоимость производства и ту торговую наценку, которую пострадавшее лицо реалистично могло бы ожидать получить в нормальных рыночных условиях.</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При оценке себестоимости производства за отправную точку можно брать фактические данные по себестоимости во время периода нарушения. Однако важно понимать, что фактическая себестоимость может быть завышена по сравнению с той, которая могла бы иметь место быть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Например, из-за заключения ценового картельного соглашения у хозяйствующих субъектов снижаются стимулы к эффективному производству, что при прочих равных условиях может привести к более высокой себестоимости. Кроме того, для поддержания ценового сговора хозяйствующие субъекты могут намеренно ограничить собственные </w:t>
      </w:r>
      <w:r w:rsidRPr="004436FA">
        <w:rPr>
          <w:rFonts w:ascii="Times New Roman" w:hAnsi="Times New Roman" w:cs="Times New Roman"/>
          <w:sz w:val="28"/>
          <w:szCs w:val="28"/>
        </w:rPr>
        <w:lastRenderedPageBreak/>
        <w:t>мощности, что может привести к более высоким издержкам в случае снижения отдачи от эффекта масштаба.</w:t>
      </w:r>
      <w:r w:rsidRPr="004436FA">
        <w:rPr>
          <w:rStyle w:val="ab"/>
          <w:rFonts w:ascii="Times New Roman" w:hAnsi="Times New Roman" w:cs="Times New Roman"/>
          <w:sz w:val="28"/>
          <w:szCs w:val="28"/>
        </w:rPr>
        <w:footnoteReference w:id="24"/>
      </w:r>
      <w:r w:rsidRPr="004436FA">
        <w:rPr>
          <w:rFonts w:ascii="Times New Roman" w:hAnsi="Times New Roman" w:cs="Times New Roman"/>
          <w:sz w:val="28"/>
          <w:szCs w:val="28"/>
        </w:rPr>
        <w:t xml:space="preserve"> Соответственно, такая оценка убытка должна рассматриваться как консервативная. Эта оценка может быть улучшена на основе более детального анализа того, как нарушение повлияло на себестоимость рассматриваемого товара (услуги).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После того, как </w:t>
      </w:r>
      <w:proofErr w:type="spellStart"/>
      <w:r w:rsidRPr="004436FA">
        <w:rPr>
          <w:rFonts w:ascii="Times New Roman" w:hAnsi="Times New Roman" w:cs="Times New Roman"/>
          <w:sz w:val="28"/>
          <w:szCs w:val="28"/>
        </w:rPr>
        <w:t>контрфактуальный</w:t>
      </w:r>
      <w:proofErr w:type="spellEnd"/>
      <w:r w:rsidRPr="004436FA">
        <w:rPr>
          <w:rFonts w:ascii="Times New Roman" w:hAnsi="Times New Roman" w:cs="Times New Roman"/>
          <w:sz w:val="28"/>
          <w:szCs w:val="28"/>
        </w:rPr>
        <w:t xml:space="preserve"> уровень себестоимости установлен, требуется определить размер торговой наценки, которая имела бы место быть при отсутствии нарушения. Данную оценку можно получить с помощью сравнительного экономического анализа. Так, в качестве конкурентной торговой наценки можно, при наличии должного обоснования, взять торговую наценку, сложившуюся на сопоставимых товарных рынках или имевшуюся на данном рынке, но до периода нарушения.</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RBBBodytext"/>
        <w:spacing w:before="0" w:after="0" w:line="240" w:lineRule="auto"/>
        <w:jc w:val="center"/>
        <w:rPr>
          <w:rFonts w:ascii="Times New Roman" w:hAnsi="Times New Roman" w:cs="Times New Roman"/>
          <w:b/>
          <w:sz w:val="28"/>
          <w:szCs w:val="28"/>
        </w:rPr>
      </w:pPr>
      <w:bookmarkStart w:id="45" w:name="_Ref404956246"/>
      <w:r w:rsidRPr="004436FA">
        <w:rPr>
          <w:rFonts w:ascii="Times New Roman" w:hAnsi="Times New Roman" w:cs="Times New Roman"/>
          <w:b/>
          <w:sz w:val="28"/>
          <w:szCs w:val="28"/>
        </w:rPr>
        <w:t>Экономическое моделирование</w:t>
      </w:r>
      <w:bookmarkEnd w:id="45"/>
    </w:p>
    <w:p w:rsidR="00DB066E" w:rsidRPr="004436FA" w:rsidRDefault="00DB066E" w:rsidP="00DB066E">
      <w:pPr>
        <w:pStyle w:val="RBBBodytext"/>
        <w:spacing w:before="0" w:after="0" w:line="240" w:lineRule="auto"/>
        <w:jc w:val="center"/>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Для оценки гипотетической цены или иных экономических параметров, которые сложились бы при отсутствии нарушения, наравне со сравнительным анализом возможно также применение экономического и математического моделирования, основанного на теории отраслевых рынков.</w:t>
      </w:r>
      <w:r w:rsidRPr="004436FA">
        <w:rPr>
          <w:rStyle w:val="ab"/>
          <w:rFonts w:ascii="Times New Roman" w:hAnsi="Times New Roman" w:cs="Times New Roman"/>
          <w:sz w:val="28"/>
          <w:szCs w:val="28"/>
        </w:rPr>
        <w:footnoteReference w:id="25"/>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Теория отраслевых рынков является разделом экономики, в котором изучается, как хозяйствующие субъекты устанавливают свои цены и объемы производства, а также как они принимают решения входа на рынок или выхода с рынка в зависимости от характеристик конкурентной среды. В числе прочего, к таким экономическим характеристикам относятся: количество участников рынка, уровень спроса на рассматриваемый товар (услугу), уровень издержек, возможные ограничения производственных мощностей, способ ценообразования (тендеры, розничные продажи и т.д.), является ли рассматриваемый товар (услуга) однородным или дифференцированным</w:t>
      </w:r>
      <w:r w:rsidRPr="004436FA">
        <w:rPr>
          <w:rStyle w:val="ab"/>
          <w:rFonts w:ascii="Times New Roman" w:hAnsi="Times New Roman" w:cs="Times New Roman"/>
          <w:sz w:val="28"/>
          <w:szCs w:val="28"/>
        </w:rPr>
        <w:footnoteReference w:id="26"/>
      </w:r>
      <w:r w:rsidRPr="004436FA">
        <w:rPr>
          <w:rFonts w:ascii="Times New Roman" w:hAnsi="Times New Roman" w:cs="Times New Roman"/>
          <w:sz w:val="28"/>
          <w:szCs w:val="28"/>
        </w:rPr>
        <w:t>.</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Поведение хозяйствующих субъектов на рынке с известными характеристиками далее прогнозируется на основе теоретико-игровых моделей, где каждый хозяйствующий субъект не только оптимизирует собственную прибыль, но и принимает во внимание, как его действия отразятся на действиях его конкурентов. В общем случае экономическое моделирование состоит из следующих шагов: 1) выбор экономической модели, соответствующей характеру и особенностям конкуренции на </w:t>
      </w:r>
      <w:r w:rsidRPr="004436FA">
        <w:rPr>
          <w:rFonts w:ascii="Times New Roman" w:hAnsi="Times New Roman" w:cs="Times New Roman"/>
          <w:sz w:val="28"/>
          <w:szCs w:val="28"/>
        </w:rPr>
        <w:lastRenderedPageBreak/>
        <w:t>рассматриваемом рынке, 2) калибровка параметров модели, 3) тестирование надежности модели.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Выбор модели определяется множеством факторов. К числу основных в первую очередь относятся следующие: количество хозяйствующих субъектов, степень однородности товара (услуги), наличие ограничений по мощностям, барьеров входа на рынок, а также, является ли один из хозяйствующих субъектов явным лидером на рынке. Но и многие другие факторы – например, издержки, которые покупатели несут при переключении с одного продавца на другого, или значимость неценовых механизмов конкуренции (</w:t>
      </w:r>
      <w:r>
        <w:rPr>
          <w:rFonts w:ascii="Times New Roman" w:hAnsi="Times New Roman" w:cs="Times New Roman"/>
          <w:sz w:val="28"/>
          <w:szCs w:val="28"/>
        </w:rPr>
        <w:t>например</w:t>
      </w:r>
      <w:r w:rsidRPr="004436FA">
        <w:rPr>
          <w:rFonts w:ascii="Times New Roman" w:hAnsi="Times New Roman" w:cs="Times New Roman"/>
          <w:sz w:val="28"/>
          <w:szCs w:val="28"/>
        </w:rPr>
        <w:t>, качество соответствующих товаров или услуг), – также могут решающим образом повлиять на выбор модели. При прочих равных, предпочтение должно отдаваться тем моделям, которые получили более широкое обсуждение и тестирование в академической литературе.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Калибровка параметров модели может проводиться различными способами. Часть данных может являться общедоступной, например, данные по мощностям производства могут быть доступны в ежегодных отчетах компаний перед их акционерами. Другие данные, например, по издержкам производства на единицу продукции, могут быть доступны из внутренней бухгалтерской документации хозяйствующих субъектов. Когда такие данные недоступны, можно использовать схожие данные сопоставимых рынков. Оценка части параметров модели, например</w:t>
      </w:r>
      <w:r>
        <w:rPr>
          <w:rFonts w:ascii="Times New Roman" w:hAnsi="Times New Roman" w:cs="Times New Roman"/>
          <w:sz w:val="28"/>
          <w:szCs w:val="28"/>
        </w:rPr>
        <w:t>,</w:t>
      </w:r>
      <w:r w:rsidRPr="004436FA">
        <w:rPr>
          <w:rFonts w:ascii="Times New Roman" w:hAnsi="Times New Roman" w:cs="Times New Roman"/>
          <w:sz w:val="28"/>
          <w:szCs w:val="28"/>
        </w:rPr>
        <w:t xml:space="preserve"> эластичности спроса, может потребовать проведения отдельного эконометрического исследования. Экспертные оценки параметров модели также могут быть допустимы при наличии соответствующего обоснования.</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Прежде чем переходить к прогнозированию цен или иных экономических показателей, которые имели бы место при отсутствии нарушения, предсказательная сила модели должна быть протестирована на фактических данных. Для тестирования модели может использоваться как рыночная ситуация до нарушения, так и ситуация во время нарушения. В последнем случае, если речь идет о ценовом картельном соглашении, все участники сговора могут рассматриваться как единый хозяйствующий субъект, оптимизирующий совокупную прибыль всех участников картеля. Если модель плохо предсказывает (описывает) рыночную ситуацию до (во время) нарушения или на сопоставимых рынках, то и нет основания полагать, что модель подходит для предсказания </w:t>
      </w:r>
      <w:proofErr w:type="spellStart"/>
      <w:r w:rsidRPr="004436FA">
        <w:rPr>
          <w:rFonts w:ascii="Times New Roman" w:hAnsi="Times New Roman" w:cs="Times New Roman"/>
          <w:sz w:val="28"/>
          <w:szCs w:val="28"/>
        </w:rPr>
        <w:t>контрфактуальных</w:t>
      </w:r>
      <w:proofErr w:type="spellEnd"/>
      <w:r w:rsidRPr="004436FA">
        <w:rPr>
          <w:rFonts w:ascii="Times New Roman" w:hAnsi="Times New Roman" w:cs="Times New Roman"/>
          <w:sz w:val="28"/>
          <w:szCs w:val="28"/>
        </w:rPr>
        <w:t xml:space="preserve"> цен или иных экономических показателей, которые могли бы иметь место при отсутствии нарушения. Такие модели могут быть ненадежны.</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Кроме того, для оценки значимости предпосылок модели резонно оценить чувствительность результатов к этим предпосылкам. Например, если при незначительном изменении некоторых исходных параметров, модель предсказывает существенные различия в ценах, объемах производства и иных показателях, которые являются предметом анализа, то в обоснованности такой модели также можно сомневаться. Это, в частности, </w:t>
      </w:r>
      <w:r w:rsidRPr="004436FA">
        <w:rPr>
          <w:rFonts w:ascii="Times New Roman" w:hAnsi="Times New Roman" w:cs="Times New Roman"/>
          <w:sz w:val="28"/>
          <w:szCs w:val="28"/>
        </w:rPr>
        <w:lastRenderedPageBreak/>
        <w:t xml:space="preserve">объясняется тем, что многие исходные параметры, закладываемые в экономические модели, сами по себе являются оценочными и, следовательно, некая вариация в их уровне является ожидаемой. Однако, если такая вариация ведет к значимой вариации предсказываемых моделью цен, объемов производства и других показателей, то такая модель может быть ненадежна для целей </w:t>
      </w:r>
      <w:proofErr w:type="spellStart"/>
      <w:r w:rsidRPr="004436FA">
        <w:rPr>
          <w:rFonts w:ascii="Times New Roman" w:hAnsi="Times New Roman" w:cs="Times New Roman"/>
          <w:sz w:val="28"/>
          <w:szCs w:val="28"/>
        </w:rPr>
        <w:t>контрфактуального</w:t>
      </w:r>
      <w:proofErr w:type="spellEnd"/>
      <w:r w:rsidRPr="004436FA">
        <w:rPr>
          <w:rFonts w:ascii="Times New Roman" w:hAnsi="Times New Roman" w:cs="Times New Roman"/>
          <w:sz w:val="28"/>
          <w:szCs w:val="28"/>
        </w:rPr>
        <w:t xml:space="preserve"> анализа.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Широкое распространение получили две базовые экономические модели: модель </w:t>
      </w:r>
      <w:proofErr w:type="spellStart"/>
      <w:r w:rsidRPr="004436FA">
        <w:rPr>
          <w:rFonts w:ascii="Times New Roman" w:hAnsi="Times New Roman" w:cs="Times New Roman"/>
          <w:sz w:val="28"/>
          <w:szCs w:val="28"/>
        </w:rPr>
        <w:t>Курно</w:t>
      </w:r>
      <w:proofErr w:type="spellEnd"/>
      <w:r w:rsidRPr="004436FA">
        <w:rPr>
          <w:rFonts w:ascii="Times New Roman" w:hAnsi="Times New Roman" w:cs="Times New Roman"/>
          <w:sz w:val="28"/>
          <w:szCs w:val="28"/>
        </w:rPr>
        <w:t xml:space="preserve"> и модель Бертрана. Детальное описание этих моделей выходит за рамки настоящего документа, однако может быть найдено в любом базовом учебнике по микроэкономической теории или теории отраслевых рынков.</w:t>
      </w:r>
      <w:r w:rsidRPr="004436FA">
        <w:rPr>
          <w:rStyle w:val="ab"/>
          <w:rFonts w:ascii="Times New Roman" w:hAnsi="Times New Roman" w:cs="Times New Roman"/>
          <w:sz w:val="28"/>
          <w:szCs w:val="28"/>
        </w:rPr>
        <w:footnoteReference w:id="27"/>
      </w:r>
      <w:r w:rsidRPr="004436FA">
        <w:rPr>
          <w:rFonts w:ascii="Times New Roman" w:hAnsi="Times New Roman" w:cs="Times New Roman"/>
          <w:sz w:val="28"/>
          <w:szCs w:val="28"/>
        </w:rPr>
        <w:t xml:space="preserve"> Данные модели не всегда применимы напрямую, но часто служат отправной точкой для более детальных исследований.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Модель </w:t>
      </w:r>
      <w:proofErr w:type="spellStart"/>
      <w:r w:rsidRPr="004436FA">
        <w:rPr>
          <w:rFonts w:ascii="Times New Roman" w:hAnsi="Times New Roman" w:cs="Times New Roman"/>
          <w:sz w:val="28"/>
          <w:szCs w:val="28"/>
        </w:rPr>
        <w:t>Курно</w:t>
      </w:r>
      <w:proofErr w:type="spellEnd"/>
      <w:r w:rsidRPr="004436FA">
        <w:rPr>
          <w:rFonts w:ascii="Times New Roman" w:hAnsi="Times New Roman" w:cs="Times New Roman"/>
          <w:sz w:val="28"/>
          <w:szCs w:val="28"/>
        </w:rPr>
        <w:t xml:space="preserve"> предполагает, что хозяйствующие субъекты вначале выбирают объемы производства, а затем поставляют всю свою произведенную продукцию на рынок. При этом также предполагается, что на рынке устанавливается одна равновесная цена. Модель </w:t>
      </w:r>
      <w:proofErr w:type="spellStart"/>
      <w:r w:rsidRPr="004436FA">
        <w:rPr>
          <w:rFonts w:ascii="Times New Roman" w:hAnsi="Times New Roman" w:cs="Times New Roman"/>
          <w:sz w:val="28"/>
          <w:szCs w:val="28"/>
        </w:rPr>
        <w:t>Курно</w:t>
      </w:r>
      <w:proofErr w:type="spellEnd"/>
      <w:r w:rsidRPr="004436FA">
        <w:rPr>
          <w:rFonts w:ascii="Times New Roman" w:hAnsi="Times New Roman" w:cs="Times New Roman"/>
          <w:sz w:val="28"/>
          <w:szCs w:val="28"/>
        </w:rPr>
        <w:t xml:space="preserve"> хорошо описывает рынки однородной продукции, где произведенная продукция продается на аукционе или на бирже, например, рынки металлов или сельскохозяйственной продукции.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Модель Бертрана предполагает, что хозяйствующие субъекты вначале выбирают цены на свою продукцию, а затем производят ее в затребованном при данных ценах объеме. Модель Бертрана хорошо описывает рынки дифференцированных товаров, где каждый товар имеет собственную цену, и где хозяйствующие субъекты могут относительно быстро удовлетворить дополнительный спрос на свою продукцию (нет ограничений по мощностям). Примерами таких рынков могут служить некоторые из рынков компьютерной или бытовой техники. При калибровке модели Бертрана требуется измерить степень взаимозаменяемости между всеми рассматриваемыми товарами в границах одного рынка (т.е. для любой пары брендов или моделей компьютерной техники).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Наконец стоит отметить, что и модель </w:t>
      </w:r>
      <w:proofErr w:type="spellStart"/>
      <w:r w:rsidRPr="004436FA">
        <w:rPr>
          <w:rFonts w:ascii="Times New Roman" w:hAnsi="Times New Roman" w:cs="Times New Roman"/>
          <w:sz w:val="28"/>
          <w:szCs w:val="28"/>
        </w:rPr>
        <w:t>Курно</w:t>
      </w:r>
      <w:proofErr w:type="spellEnd"/>
      <w:r w:rsidRPr="004436FA">
        <w:rPr>
          <w:rFonts w:ascii="Times New Roman" w:hAnsi="Times New Roman" w:cs="Times New Roman"/>
          <w:sz w:val="28"/>
          <w:szCs w:val="28"/>
        </w:rPr>
        <w:t xml:space="preserve"> и модель Бертрана предполагают наличие высоких барьеров входа на рынок (входа в рассматриваемую отрасль). Если барьеры относительно низки, то </w:t>
      </w:r>
      <w:proofErr w:type="spellStart"/>
      <w:r w:rsidRPr="004436FA">
        <w:rPr>
          <w:rFonts w:ascii="Times New Roman" w:hAnsi="Times New Roman" w:cs="Times New Roman"/>
          <w:sz w:val="28"/>
          <w:szCs w:val="28"/>
        </w:rPr>
        <w:t>антиконкурентный</w:t>
      </w:r>
      <w:proofErr w:type="spellEnd"/>
      <w:r w:rsidRPr="004436FA">
        <w:rPr>
          <w:rFonts w:ascii="Times New Roman" w:hAnsi="Times New Roman" w:cs="Times New Roman"/>
          <w:sz w:val="28"/>
          <w:szCs w:val="28"/>
        </w:rPr>
        <w:t xml:space="preserve"> рост цен естественным образом привлечет новых производителей. В этом случае поведение хозяйствующих субъектов будет заведомо неадекватно описываться данными моделями, поскольку они учитывают действия имеющихся участников рынка, но не принимают во внимание конкурентное давление со стороны потенциальных участников.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Основной плюс метода экономического моделирования заключается в том, что он может дать более точную оценку исследуемых индикаторов и, соответственно, более точную оценку убытков, поскольку поведенческие аспекты хозяйствующих субъектов явным образом принимаются во </w:t>
      </w:r>
      <w:r w:rsidRPr="004436FA">
        <w:rPr>
          <w:rFonts w:ascii="Times New Roman" w:hAnsi="Times New Roman" w:cs="Times New Roman"/>
          <w:sz w:val="28"/>
          <w:szCs w:val="28"/>
        </w:rPr>
        <w:lastRenderedPageBreak/>
        <w:t>внимание (т.к. они «встроены» в соответствующую модель). С другой стороны, минус заключается в том, что экономическое моделирование требует принятия более строгих предпосылок, чем того требует сравнительный анализ (например, необходимы калибровка параметров модели, принятие предпосылки о рациональном поведении хозяйствующих субъектов и проч.). Если предпосылки и предположения, на которых построена та или иная модель не выполняются (не реализуется на практике), то результаты экономического моделирования могут быть ошибочны. Тем не менее, использование дополнительных предпосылок порою дает возможность применять экономическое моделирование даже в тех случаях, когда сравнительный анализ невозможен в силу отсутствия сопоставимых рынков или репрезентативных цен в период до или после нарушения.</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2"/>
        <w:spacing w:before="0" w:line="240" w:lineRule="auto"/>
        <w:ind w:firstLine="709"/>
        <w:jc w:val="both"/>
        <w:rPr>
          <w:rFonts w:ascii="Times New Roman" w:hAnsi="Times New Roman"/>
          <w:color w:val="auto"/>
          <w:sz w:val="28"/>
          <w:szCs w:val="28"/>
        </w:rPr>
      </w:pPr>
      <w:bookmarkStart w:id="46" w:name="_Ref406683446"/>
      <w:bookmarkStart w:id="47" w:name="_Toc487536227"/>
      <w:r w:rsidRPr="004436FA">
        <w:rPr>
          <w:rFonts w:ascii="Times New Roman" w:hAnsi="Times New Roman"/>
          <w:color w:val="auto"/>
          <w:sz w:val="28"/>
          <w:szCs w:val="28"/>
        </w:rPr>
        <w:t xml:space="preserve">2.3. Источники информации для проведения </w:t>
      </w:r>
      <w:proofErr w:type="spellStart"/>
      <w:r w:rsidRPr="004436FA">
        <w:rPr>
          <w:rFonts w:ascii="Times New Roman" w:hAnsi="Times New Roman"/>
          <w:color w:val="auto"/>
          <w:sz w:val="28"/>
          <w:szCs w:val="28"/>
        </w:rPr>
        <w:t>контрфактуального</w:t>
      </w:r>
      <w:proofErr w:type="spellEnd"/>
      <w:r w:rsidRPr="004436FA">
        <w:rPr>
          <w:rFonts w:ascii="Times New Roman" w:hAnsi="Times New Roman"/>
          <w:color w:val="auto"/>
          <w:sz w:val="28"/>
          <w:szCs w:val="28"/>
        </w:rPr>
        <w:t xml:space="preserve"> анализа</w:t>
      </w:r>
      <w:bookmarkEnd w:id="46"/>
      <w:r w:rsidRPr="004436FA">
        <w:rPr>
          <w:rFonts w:ascii="Times New Roman" w:hAnsi="Times New Roman"/>
          <w:color w:val="auto"/>
          <w:sz w:val="28"/>
          <w:szCs w:val="28"/>
        </w:rPr>
        <w:t>.</w:t>
      </w:r>
      <w:bookmarkEnd w:id="47"/>
    </w:p>
    <w:p w:rsidR="00DB066E" w:rsidRPr="00043AAE" w:rsidRDefault="00DB066E" w:rsidP="00DB066E">
      <w:pPr>
        <w:spacing w:after="0" w:line="240" w:lineRule="auto"/>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Любые объективные источники информации могут быть использованы для проведения анализа по расчету убытков. К таковым относятся (но не являются исчерпывающими), например, следующие: </w:t>
      </w:r>
    </w:p>
    <w:p w:rsidR="00DB066E" w:rsidRPr="004436FA" w:rsidRDefault="00DB066E" w:rsidP="00DB066E">
      <w:pPr>
        <w:pStyle w:val="ConsPlusNormal"/>
        <w:numPr>
          <w:ilvl w:val="0"/>
          <w:numId w:val="46"/>
        </w:numPr>
        <w:tabs>
          <w:tab w:val="left" w:pos="851"/>
        </w:tabs>
        <w:ind w:left="0"/>
        <w:jc w:val="both"/>
      </w:pPr>
      <w:r w:rsidRPr="004436FA">
        <w:t>Официальные статистические данные, сведения, полученные от антимонопольных, налоговых, таможенных и иных государственных органов.</w:t>
      </w:r>
    </w:p>
    <w:p w:rsidR="00DB066E" w:rsidRPr="004436FA" w:rsidRDefault="00DB066E" w:rsidP="00DB066E">
      <w:pPr>
        <w:pStyle w:val="ConsPlusNormal"/>
        <w:numPr>
          <w:ilvl w:val="0"/>
          <w:numId w:val="46"/>
        </w:numPr>
        <w:tabs>
          <w:tab w:val="left" w:pos="851"/>
        </w:tabs>
        <w:ind w:left="0"/>
        <w:jc w:val="both"/>
      </w:pPr>
      <w:r w:rsidRPr="004436FA">
        <w:t>Внутренние документы компаний, включая финансовую отчетность, собственные маркетинговые исследования, экспертные оценки.</w:t>
      </w:r>
    </w:p>
    <w:p w:rsidR="00DB066E" w:rsidRPr="004436FA" w:rsidRDefault="00DB066E" w:rsidP="00DB066E">
      <w:pPr>
        <w:pStyle w:val="ConsPlusNormal"/>
        <w:numPr>
          <w:ilvl w:val="0"/>
          <w:numId w:val="46"/>
        </w:numPr>
        <w:tabs>
          <w:tab w:val="left" w:pos="851"/>
        </w:tabs>
        <w:ind w:left="0"/>
        <w:jc w:val="both"/>
      </w:pPr>
      <w:r w:rsidRPr="004436FA">
        <w:t>Рыночные и маркетинговые исследования, проведенные третьими лицами (соответствующими специализированными организациями).</w:t>
      </w:r>
    </w:p>
    <w:p w:rsidR="00DB066E" w:rsidRPr="004436FA" w:rsidRDefault="00DB066E" w:rsidP="00DB066E">
      <w:pPr>
        <w:pStyle w:val="ConsPlusNormal"/>
        <w:numPr>
          <w:ilvl w:val="0"/>
          <w:numId w:val="46"/>
        </w:numPr>
        <w:tabs>
          <w:tab w:val="left" w:pos="851"/>
        </w:tabs>
        <w:ind w:left="0"/>
        <w:jc w:val="both"/>
      </w:pPr>
      <w:r w:rsidRPr="004436FA">
        <w:t>Экспертные оценки и исследования органов государственной власти (министерств, ведомств, отраслевых регуляторов и проч.).</w:t>
      </w:r>
    </w:p>
    <w:p w:rsidR="00DB066E" w:rsidRPr="004436FA" w:rsidRDefault="00DB066E" w:rsidP="00DB066E">
      <w:pPr>
        <w:pStyle w:val="ConsPlusNormal"/>
        <w:numPr>
          <w:ilvl w:val="0"/>
          <w:numId w:val="46"/>
        </w:numPr>
        <w:tabs>
          <w:tab w:val="left" w:pos="851"/>
        </w:tabs>
        <w:ind w:left="0"/>
        <w:jc w:val="both"/>
      </w:pPr>
      <w:r w:rsidRPr="004436FA">
        <w:t>Данные ведомственных и независимых информационных центров и служб, средств массовой информации.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Ни один из источников информации нельзя указать как приоритетный, и выбор конкретных источников будет зависеть от обстоятельств конкретного дела. Бремя доказывания обоснованности соответствующих источников, а также надежности последующего анализа возлагается на сторону, осуществляющую оценку убытков.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случае наличия в материалах дела документов, указывающих на величину повышения цен картелем и т.п., такие документы также могут быть использованы для непосредственной оценки убытков. </w:t>
      </w:r>
      <w:r>
        <w:rPr>
          <w:rFonts w:ascii="Times New Roman" w:hAnsi="Times New Roman" w:cs="Times New Roman"/>
          <w:sz w:val="28"/>
          <w:szCs w:val="28"/>
        </w:rPr>
        <w:t>Например, если</w:t>
      </w:r>
      <w:r w:rsidRPr="004436FA">
        <w:rPr>
          <w:rFonts w:ascii="Times New Roman" w:hAnsi="Times New Roman" w:cs="Times New Roman"/>
          <w:sz w:val="28"/>
          <w:szCs w:val="28"/>
        </w:rPr>
        <w:t xml:space="preserve">, при наличии переписки между хозяйствующими субъектами, участвовавшими в ценовом сговоре, в которой оговаривается, на сколько предполагалось повысить цены, данные сведения могут быть непосредственно использованы для оценки убытков, вызванных завышенными ценами. </w:t>
      </w:r>
    </w:p>
    <w:p w:rsidR="00DB066E"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Однако даже в таких исключительных случаях корректное определение размера убытков без проведения дополнительного экономического анализа, </w:t>
      </w:r>
      <w:r w:rsidRPr="004436FA">
        <w:rPr>
          <w:rFonts w:ascii="Times New Roman" w:hAnsi="Times New Roman" w:cs="Times New Roman"/>
          <w:sz w:val="28"/>
          <w:szCs w:val="28"/>
        </w:rPr>
        <w:lastRenderedPageBreak/>
        <w:t>как правило, невозможно. Например, проведение экономического анализа по-прежнему потребуется для оценки убытков, выз</w:t>
      </w:r>
      <w:r>
        <w:rPr>
          <w:rFonts w:ascii="Times New Roman" w:hAnsi="Times New Roman" w:cs="Times New Roman"/>
          <w:sz w:val="28"/>
          <w:szCs w:val="28"/>
        </w:rPr>
        <w:t>ванных упущенными объемами</w:t>
      </w:r>
      <w:r w:rsidRPr="004436FA">
        <w:rPr>
          <w:rFonts w:ascii="Times New Roman" w:hAnsi="Times New Roman" w:cs="Times New Roman"/>
          <w:sz w:val="28"/>
          <w:szCs w:val="28"/>
        </w:rPr>
        <w:t>, а также для оц</w:t>
      </w:r>
      <w:r>
        <w:rPr>
          <w:rFonts w:ascii="Times New Roman" w:hAnsi="Times New Roman" w:cs="Times New Roman"/>
          <w:sz w:val="28"/>
          <w:szCs w:val="28"/>
        </w:rPr>
        <w:t>енки эффекта переноса издержек</w:t>
      </w:r>
      <w:r w:rsidRPr="004436FA">
        <w:rPr>
          <w:rFonts w:ascii="Times New Roman" w:hAnsi="Times New Roman" w:cs="Times New Roman"/>
          <w:sz w:val="28"/>
          <w:szCs w:val="28"/>
        </w:rPr>
        <w:t>.</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1"/>
        <w:spacing w:before="0" w:line="240" w:lineRule="auto"/>
        <w:ind w:firstLine="709"/>
        <w:jc w:val="both"/>
        <w:rPr>
          <w:rFonts w:ascii="Times New Roman" w:hAnsi="Times New Roman"/>
          <w:color w:val="auto"/>
        </w:rPr>
      </w:pPr>
      <w:bookmarkStart w:id="48" w:name="_Ref404954119"/>
      <w:bookmarkStart w:id="49" w:name="_Toc487536228"/>
      <w:r w:rsidRPr="004436FA">
        <w:rPr>
          <w:rFonts w:ascii="Times New Roman" w:hAnsi="Times New Roman"/>
          <w:color w:val="auto"/>
        </w:rPr>
        <w:t>3. Расчеты убытков, причиненных установлением (поддержанием) необоснованно высоких цен</w:t>
      </w:r>
      <w:bookmarkEnd w:id="48"/>
      <w:r w:rsidRPr="004436FA">
        <w:rPr>
          <w:rFonts w:ascii="Times New Roman" w:hAnsi="Times New Roman"/>
          <w:color w:val="auto"/>
        </w:rPr>
        <w:t>.</w:t>
      </w:r>
      <w:bookmarkEnd w:id="49"/>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50" w:name="_Toc487536229"/>
      <w:r w:rsidRPr="004436FA">
        <w:rPr>
          <w:rFonts w:ascii="Times New Roman" w:hAnsi="Times New Roman"/>
          <w:color w:val="auto"/>
          <w:sz w:val="28"/>
          <w:szCs w:val="28"/>
        </w:rPr>
        <w:t>3.1. Введение.</w:t>
      </w:r>
      <w:bookmarkEnd w:id="50"/>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К таким нарушениям, в первую очередь, относятся </w:t>
      </w:r>
      <w:proofErr w:type="spellStart"/>
      <w:r w:rsidRPr="004436FA">
        <w:rPr>
          <w:rFonts w:ascii="Times New Roman" w:hAnsi="Times New Roman" w:cs="Times New Roman"/>
          <w:sz w:val="28"/>
          <w:szCs w:val="28"/>
        </w:rPr>
        <w:t>антиконкурентные</w:t>
      </w:r>
      <w:proofErr w:type="spellEnd"/>
      <w:r w:rsidRPr="004436FA">
        <w:rPr>
          <w:rFonts w:ascii="Times New Roman" w:hAnsi="Times New Roman" w:cs="Times New Roman"/>
          <w:sz w:val="28"/>
          <w:szCs w:val="28"/>
        </w:rPr>
        <w:t xml:space="preserve"> горизонтальные соглашения (картели) и установление монопольно высоких цен. Важно почеркнуть, что в эту категорию входят не только </w:t>
      </w:r>
      <w:proofErr w:type="spellStart"/>
      <w:r w:rsidRPr="004436FA">
        <w:rPr>
          <w:rFonts w:ascii="Times New Roman" w:hAnsi="Times New Roman" w:cs="Times New Roman"/>
          <w:sz w:val="28"/>
          <w:szCs w:val="28"/>
        </w:rPr>
        <w:t>антиконкурентные</w:t>
      </w:r>
      <w:proofErr w:type="spellEnd"/>
      <w:r w:rsidRPr="004436FA">
        <w:rPr>
          <w:rFonts w:ascii="Times New Roman" w:hAnsi="Times New Roman" w:cs="Times New Roman"/>
          <w:sz w:val="28"/>
          <w:szCs w:val="28"/>
        </w:rPr>
        <w:t xml:space="preserve"> соглашения (действия), непосредственно направленные на увеличение цен, но и любые </w:t>
      </w:r>
      <w:proofErr w:type="spellStart"/>
      <w:r w:rsidRPr="004436FA">
        <w:rPr>
          <w:rFonts w:ascii="Times New Roman" w:hAnsi="Times New Roman" w:cs="Times New Roman"/>
          <w:sz w:val="28"/>
          <w:szCs w:val="28"/>
        </w:rPr>
        <w:t>антиконкурентные</w:t>
      </w:r>
      <w:proofErr w:type="spellEnd"/>
      <w:r w:rsidRPr="004436FA">
        <w:rPr>
          <w:rFonts w:ascii="Times New Roman" w:hAnsi="Times New Roman" w:cs="Times New Roman"/>
          <w:sz w:val="28"/>
          <w:szCs w:val="28"/>
        </w:rPr>
        <w:t xml:space="preserve"> соглашения (действия), которые фактически приводят к данному эффекту. Например, если имело место картельное соглашение о разделе товарного рынка, и было соответствующим образом доказано, что его негативные последствия выразились в росте цен, то такое нарушение также относится к данной категории.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Расчеты убытков, причиненных данными нарушениями, могут проводиться как для непосредственных приобретателей рассматриваемого товара (услуги), так и для приобретателей товаров (услуг) на соответствующих рынках нижнего передела. Рынком нижнего передела называется рынок продукции (товаров, услуг), производимой из продукции рассматриваемого рынка (т.е. для которого продукция рассматриваемого рынка служит сырьем). Рынки, на которых рассматриваемый товар перепродается на новых условиях (например, оптовые закупки перепродаются в розницу), также относятся к рынкам нижнего передела. Аналогично, рынком верхнего передела называется рынок продукции, либо используемой в качестве сырья для производства продукции рассматриваемого рынка, либо перепродаваемой на рассматриваемом рынке.</w:t>
      </w:r>
      <w:r w:rsidRPr="004436FA">
        <w:rPr>
          <w:rStyle w:val="ab"/>
          <w:rFonts w:ascii="Times New Roman" w:hAnsi="Times New Roman" w:cs="Times New Roman"/>
          <w:sz w:val="28"/>
          <w:szCs w:val="28"/>
        </w:rPr>
        <w:footnoteReference w:id="28"/>
      </w:r>
      <w:r w:rsidRPr="004436FA">
        <w:rPr>
          <w:rStyle w:val="ab"/>
          <w:rFonts w:ascii="Times New Roman" w:hAnsi="Times New Roman" w:cs="Times New Roman"/>
          <w:sz w:val="28"/>
          <w:szCs w:val="28"/>
        </w:rPr>
        <w:t xml:space="preserve">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подразделе 3.2 настоящего раздела описываются основные принципы оценки убытков, которые непосредственные потребители</w:t>
      </w:r>
      <w:r w:rsidRPr="004436FA">
        <w:rPr>
          <w:rStyle w:val="ab"/>
          <w:rFonts w:ascii="Times New Roman" w:hAnsi="Times New Roman" w:cs="Times New Roman"/>
          <w:sz w:val="28"/>
          <w:szCs w:val="28"/>
        </w:rPr>
        <w:footnoteReference w:id="29"/>
      </w:r>
      <w:r w:rsidRPr="004436FA">
        <w:rPr>
          <w:rFonts w:ascii="Times New Roman" w:hAnsi="Times New Roman" w:cs="Times New Roman"/>
          <w:sz w:val="28"/>
          <w:szCs w:val="28"/>
        </w:rPr>
        <w:t xml:space="preserve"> товара (услуги) понесли в результате необоснованного повышения цен. Модельный пример такой оценки приведен в подразделе 3.3. Если пострадавшие потребители в свою очередь подняли цены на свои собственные товары (услуги), то их собственные покупатели косвенным образом также понесут убытки в результате нарушения. Убытки таких потребителей, включая покупателей на рынках нижнего передела (косвенных покупателей), рассматриваются в подразделе 3.4.</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51" w:name="_Ref405562409"/>
      <w:bookmarkStart w:id="52" w:name="_Toc487536230"/>
      <w:r w:rsidRPr="004436FA">
        <w:rPr>
          <w:rFonts w:ascii="Times New Roman" w:hAnsi="Times New Roman"/>
          <w:color w:val="auto"/>
          <w:sz w:val="28"/>
          <w:szCs w:val="28"/>
        </w:rPr>
        <w:lastRenderedPageBreak/>
        <w:t>3.2. Расчет убытков для непосредственных приобретателей рассматриваемого товара (услуги)</w:t>
      </w:r>
      <w:bookmarkEnd w:id="51"/>
      <w:r w:rsidRPr="004436FA">
        <w:rPr>
          <w:rFonts w:ascii="Times New Roman" w:hAnsi="Times New Roman"/>
          <w:color w:val="auto"/>
          <w:sz w:val="28"/>
          <w:szCs w:val="28"/>
        </w:rPr>
        <w:t>.</w:t>
      </w:r>
      <w:bookmarkEnd w:id="52"/>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Как </w:t>
      </w:r>
      <w:r>
        <w:rPr>
          <w:rFonts w:ascii="Times New Roman" w:hAnsi="Times New Roman" w:cs="Times New Roman"/>
          <w:sz w:val="28"/>
          <w:szCs w:val="28"/>
        </w:rPr>
        <w:t>указано</w:t>
      </w:r>
      <w:r w:rsidRPr="004436FA">
        <w:rPr>
          <w:rFonts w:ascii="Times New Roman" w:hAnsi="Times New Roman" w:cs="Times New Roman"/>
          <w:sz w:val="28"/>
          <w:szCs w:val="28"/>
        </w:rPr>
        <w:t xml:space="preserve"> выше (раздел 2), с экономической точки зрения убыток включает в себя упущенную выгоду (коммерческие возможности), которые пострадавшее лицо реалистично могло бы ожидать дополнительно получить (использовать) при отсутствии нарушения. На практике упущенная выгода обычно исчисляется в денежном выражении как недополученная прибыль. При расчете убытков для непосредственных приобретателей рассматриваемого товара (услуги) необходимо ответить на следующие вопросы:</w:t>
      </w:r>
    </w:p>
    <w:p w:rsidR="00DB066E" w:rsidRPr="004436FA" w:rsidRDefault="00DB066E" w:rsidP="00DB066E">
      <w:pPr>
        <w:pStyle w:val="ConsPlusNormal"/>
        <w:numPr>
          <w:ilvl w:val="0"/>
          <w:numId w:val="36"/>
        </w:numPr>
        <w:tabs>
          <w:tab w:val="left" w:pos="851"/>
        </w:tabs>
        <w:ind w:left="0" w:firstLine="567"/>
        <w:jc w:val="both"/>
      </w:pPr>
      <w:r w:rsidRPr="004436FA">
        <w:t>насколько были необоснованно завышены цены в результате нарушения?</w:t>
      </w:r>
    </w:p>
    <w:p w:rsidR="00DB066E" w:rsidRPr="004436FA" w:rsidRDefault="00DB066E" w:rsidP="00DB066E">
      <w:pPr>
        <w:pStyle w:val="ConsPlusNormal"/>
        <w:numPr>
          <w:ilvl w:val="0"/>
          <w:numId w:val="36"/>
        </w:numPr>
        <w:tabs>
          <w:tab w:val="left" w:pos="851"/>
        </w:tabs>
        <w:ind w:left="0" w:firstLine="567"/>
        <w:jc w:val="both"/>
      </w:pPr>
      <w:r w:rsidRPr="004436FA">
        <w:t>насколько снизился объем закупок товара (услуги) пострадавшей стороной в результате повышения цен?</w:t>
      </w:r>
    </w:p>
    <w:p w:rsidR="00DB066E" w:rsidRPr="004436FA" w:rsidRDefault="00DB066E" w:rsidP="00DB066E">
      <w:pPr>
        <w:pStyle w:val="ConsPlusNormal"/>
        <w:numPr>
          <w:ilvl w:val="0"/>
          <w:numId w:val="36"/>
        </w:numPr>
        <w:tabs>
          <w:tab w:val="left" w:pos="851"/>
        </w:tabs>
        <w:ind w:left="0" w:firstLine="567"/>
        <w:jc w:val="both"/>
      </w:pPr>
      <w:r w:rsidRPr="004436FA">
        <w:t>насколько приобретатели товара (услуги) повысили цены при реализации своей собственной продукции?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Эти три вопроса соответствуют трем различным экономическим эффектам: эффект «завышенных цен», эффект «упущенных объемов» и эффект «переноса издержек»</w:t>
      </w:r>
      <w:r w:rsidRPr="004436FA">
        <w:rPr>
          <w:rStyle w:val="ab"/>
          <w:rFonts w:ascii="Times New Roman" w:hAnsi="Times New Roman" w:cs="Times New Roman"/>
          <w:sz w:val="28"/>
          <w:szCs w:val="28"/>
        </w:rPr>
        <w:footnoteReference w:id="30"/>
      </w:r>
      <w:r w:rsidRPr="004436FA">
        <w:rPr>
          <w:rFonts w:ascii="Times New Roman" w:hAnsi="Times New Roman" w:cs="Times New Roman"/>
          <w:sz w:val="28"/>
          <w:szCs w:val="28"/>
        </w:rPr>
        <w:t>. Более детально эти эффекты обсуждаются ниже.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Важно подчеркнуть, что убытки, вызванные вышеуказанными эффектами, могут быть только частью убытков пострадавшего лица. Необходимо также учитывать, при их наличии, коммерческие и инвестиционные возможности, упущенные в связи со снижением доходов. Например, если в результате нарушения пострадавшее лицо не смогло осуществить инвестиции в расширение мощностей своего бизнеса, и при этом на такие дополнительные мощности был спрос, то соответствующие убытки должны приниматься во внимание. Бремя доказывания наличия и объективности упущенных коммерческих и инвестиционных возможностей возлагается на пострадавшее лицо.</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53" w:name="_Toc487536231"/>
      <w:r w:rsidRPr="004436FA">
        <w:rPr>
          <w:rFonts w:ascii="Times New Roman" w:hAnsi="Times New Roman"/>
          <w:color w:val="auto"/>
          <w:sz w:val="28"/>
          <w:szCs w:val="28"/>
        </w:rPr>
        <w:t>3.2.1. Эффект завышенных цен.</w:t>
      </w:r>
      <w:bookmarkEnd w:id="53"/>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Если цена товара (услуги) была необоснованно завышена в результате нарушения антимонопольного законодательства, то приобретатель фактически заплатил за каждую единицу купленного товара (услуги) больше, чем он мог бы заплатить при отсутствии нарушения. Соответствующие убытки являются убытками, вызванными завышенными ценами.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качестве иллюстрации предположим, что фактическая цена приобретения товара была 110 руб./ед., а </w:t>
      </w:r>
      <w:proofErr w:type="spellStart"/>
      <w:r w:rsidRPr="004436FA">
        <w:rPr>
          <w:rFonts w:ascii="Times New Roman" w:hAnsi="Times New Roman" w:cs="Times New Roman"/>
          <w:sz w:val="28"/>
          <w:szCs w:val="28"/>
        </w:rPr>
        <w:t>контрфактуальная</w:t>
      </w:r>
      <w:proofErr w:type="spellEnd"/>
      <w:r w:rsidRPr="004436FA">
        <w:rPr>
          <w:rFonts w:ascii="Times New Roman" w:hAnsi="Times New Roman" w:cs="Times New Roman"/>
          <w:sz w:val="28"/>
          <w:szCs w:val="28"/>
        </w:rPr>
        <w:t xml:space="preserve"> цена оценивается в 100 руб./ед. Тогда эффект завышенных цен составляет 10 = 110 – 100 руб./ед. Очевидно, что при установлении (поддержании) необоснованно высоких цен, данные цены будут всегда выше их конкурентного уровня. Соответственно, эффект повышенных цен всегда положительный в том </w:t>
      </w:r>
      <w:r w:rsidRPr="004436FA">
        <w:rPr>
          <w:rFonts w:ascii="Times New Roman" w:hAnsi="Times New Roman" w:cs="Times New Roman"/>
          <w:sz w:val="28"/>
          <w:szCs w:val="28"/>
        </w:rPr>
        <w:lastRenderedPageBreak/>
        <w:t xml:space="preserve">смысле, что он увеличивает убыток для приобретателя рассматриваемого товара (услуги). </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54" w:name="_Ref406589540"/>
      <w:bookmarkStart w:id="55" w:name="_Toc487536232"/>
      <w:r w:rsidRPr="004436FA">
        <w:rPr>
          <w:rFonts w:ascii="Times New Roman" w:hAnsi="Times New Roman"/>
          <w:color w:val="auto"/>
          <w:sz w:val="28"/>
          <w:szCs w:val="28"/>
        </w:rPr>
        <w:t>3.2.2. Эффект упущенных объемов</w:t>
      </w:r>
      <w:bookmarkEnd w:id="54"/>
      <w:r w:rsidRPr="004436FA">
        <w:rPr>
          <w:rFonts w:ascii="Times New Roman" w:hAnsi="Times New Roman"/>
          <w:color w:val="auto"/>
          <w:sz w:val="28"/>
          <w:szCs w:val="28"/>
        </w:rPr>
        <w:t>.</w:t>
      </w:r>
      <w:bookmarkEnd w:id="55"/>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Согласно классической теории потребительского спроса,</w:t>
      </w:r>
      <w:r w:rsidRPr="004436FA">
        <w:rPr>
          <w:rStyle w:val="ab"/>
          <w:rFonts w:ascii="Times New Roman" w:hAnsi="Times New Roman" w:cs="Times New Roman"/>
          <w:sz w:val="28"/>
          <w:szCs w:val="28"/>
        </w:rPr>
        <w:footnoteReference w:id="31"/>
      </w:r>
      <w:r w:rsidRPr="004436FA">
        <w:rPr>
          <w:rFonts w:ascii="Times New Roman" w:hAnsi="Times New Roman" w:cs="Times New Roman"/>
          <w:sz w:val="28"/>
          <w:szCs w:val="28"/>
        </w:rPr>
        <w:t xml:space="preserve"> в общем случае кривая потребительского спроса является нисходящей по отношению к ценам. Это значит, что, при прочих равных условиях, снижение цен приводит к росту спроса, а повышение цен, наоборот, к его снижению. Следовательно, если  вследствие нарушения приобретатель товара (услуги) получает его по завышенным ценам, то при отсутствии нарушения его спрос мог бы быть выше. Соответствующие убытки являются убытками, вызванными упущенными объемами или нереализованными производственными (коммерческими) возможностями. Они соответствуют упущенной выгоде, возникающей из-за меньшего объема продаж на рынке нижнего передела.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Например, если при росте цен по сравнению со своим </w:t>
      </w:r>
      <w:proofErr w:type="spellStart"/>
      <w:r w:rsidRPr="004436FA">
        <w:rPr>
          <w:rFonts w:ascii="Times New Roman" w:hAnsi="Times New Roman" w:cs="Times New Roman"/>
          <w:sz w:val="28"/>
          <w:szCs w:val="28"/>
        </w:rPr>
        <w:t>контрфактуальным</w:t>
      </w:r>
      <w:proofErr w:type="spellEnd"/>
      <w:r w:rsidRPr="004436FA">
        <w:rPr>
          <w:rFonts w:ascii="Times New Roman" w:hAnsi="Times New Roman" w:cs="Times New Roman"/>
          <w:sz w:val="28"/>
          <w:szCs w:val="28"/>
        </w:rPr>
        <w:t xml:space="preserve"> уровнем на 10 руб./ед. спрос приобретателя товара снизился с 60 до 50 ед., то эффект упущенных объемов составляет 10 ед., умноженные на ту маржу прибыли, которую приобретатель мог бы ожидать получить от последующей реализации данного товара или продукции из него, если бы нарушения не произошло. Поскольку при установлении (поддержании) необоснованно высоких цен, эффект повышенных цен всегда положительный, то фактические объемы закупок всегда меньше своего </w:t>
      </w:r>
      <w:proofErr w:type="spellStart"/>
      <w:r w:rsidRPr="004436FA">
        <w:rPr>
          <w:rFonts w:ascii="Times New Roman" w:hAnsi="Times New Roman" w:cs="Times New Roman"/>
          <w:sz w:val="28"/>
          <w:szCs w:val="28"/>
        </w:rPr>
        <w:t>контрфактуального</w:t>
      </w:r>
      <w:proofErr w:type="spellEnd"/>
      <w:r w:rsidRPr="004436FA">
        <w:rPr>
          <w:rFonts w:ascii="Times New Roman" w:hAnsi="Times New Roman" w:cs="Times New Roman"/>
          <w:sz w:val="28"/>
          <w:szCs w:val="28"/>
        </w:rPr>
        <w:t xml:space="preserve"> уровня. Следовательно, эффект упущенных объемов всегда положительный и увеличивает убыток для приобретателя рассматриваемого товара (услуги).</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56" w:name="_Ref406589586"/>
      <w:bookmarkStart w:id="57" w:name="_Toc487536233"/>
      <w:r w:rsidRPr="004436FA">
        <w:rPr>
          <w:rFonts w:ascii="Times New Roman" w:hAnsi="Times New Roman"/>
          <w:color w:val="auto"/>
          <w:sz w:val="28"/>
          <w:szCs w:val="28"/>
        </w:rPr>
        <w:t>3.2.3. Эффект переноса издержек</w:t>
      </w:r>
      <w:bookmarkEnd w:id="56"/>
      <w:r w:rsidRPr="004436FA">
        <w:rPr>
          <w:rFonts w:ascii="Times New Roman" w:hAnsi="Times New Roman"/>
          <w:color w:val="auto"/>
          <w:sz w:val="28"/>
          <w:szCs w:val="28"/>
        </w:rPr>
        <w:t>.</w:t>
      </w:r>
      <w:bookmarkEnd w:id="57"/>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общем случае цена, по которой производитель товара (услуги) полагает выгодным продавать его на рынке, положительным образом зависит от издержек производства. Таким образом, в случае повышения цен на товар (услуги), его непосредственные приобретатели имеют стимул переносить часть своих возросших издержек на собственных покупателей за счет повышения своих собственных отпускных цен.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Следовательно, если приобретатель товара (услуги) получает его по завышенным ценам, то его собственные цены при отсутствии нарушения могли бы быть ниже. Однако данный эффект переноса издержек возникает, только если приобретатели товара на рассматриваемом рынке занимают «промежуточное положение» и являются также продавцами на рынке нижнего передела. Для конечных приобретателей товара (услуги) эффект переноса отсутствует. Конечные приобретатели не имеют возможность в какой-то степени компенсировать свои возросшие затраты посредством увеличения цен перепродажи товара или цен на собственную продукцию.</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lastRenderedPageBreak/>
        <w:t>В тоже время фактическая возможность непосредственных приобретателей переносить издержки ключевым образом зависит от степени конкуренции между ними на рынке нижнего передела. Если рынок нижнего передела является высоко-конкурентным, то эффект переноса будет близок к 100%. А именно, в силу развитой конкуренции цены на рынке нижнего передела будут приблизительно равны соответствующим предельным издержкам. Учитывая вышесказанное и учитывая, что цены на рынке верхнего передела являются предельными издержками для рынка нижнего передела, необоснованный рост цен на рынке верхнего передела приведет к такому же росту цен на рынке нижнего передела. Соответственно, эффект переноса составит 100%.</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Вышеуказанный аргумент основывается на том, что все хозяйствующие субъекты на конкурентном рынке нижнего передела в одинаковой степени подвержены росту цен на рынке верхнего передела (сырья). Однако возможны и иные ситуации. Например, может быть так, что только некоторые участники рынка нижнего передела испытали рост цен (издержек), поскольку они закупали сырье у тех хозяйствующих субъектов, которые являлись участниками картельного соглашения. При этом другие участники рынка нижнего передела имели альтернативные источники сырья (товара) и не были подвержены повышению цен на него. В таком случае эффект переноса может отсутствовать. Пострадавшие хозяйствующие субъекты просто не смогут поднять свои цены, если конкурентное давление со стороны других участников рынка нижнего передела велико. В таком случае пострадавшие хозяйствующие субъекты могут быть вынуждены покинуть рынок в долгосрочной перспективе.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Если же рынок нижнего передела не является рынком совершенной конкуренции, то эффект переноса будет меньше 100%. И действительно, чем менее конкурентным является рынок нижнего передела, тем выше рентабельность участвующих на нем хозяйствующих субъектов. Чем выше рентабельность, тем выше потери прибыли при снижении спроса. Соответственно, хозяйствующие субъекты, участвующие на менее конкурентных рынках нижнего передела, будут завышать свои собственные цены в меньшей степени при увеличении своих издержек, дабы избежать более высоких потерь, ассоциированных со снижением спроса.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качестве примера полезно рассмотреть гипотетическую ситуацию, представленную в нижеследующей вставке.</w:t>
      </w:r>
    </w:p>
    <w:p w:rsidR="00DB066E" w:rsidRPr="004436FA" w:rsidRDefault="00DB066E" w:rsidP="00DB066E">
      <w:pPr>
        <w:pStyle w:val="RBBBoxTitle"/>
        <w:shd w:val="clear" w:color="auto" w:fill="DBE5F1"/>
        <w:spacing w:before="0" w:after="0" w:line="240" w:lineRule="auto"/>
        <w:ind w:firstLine="709"/>
        <w:jc w:val="both"/>
        <w:rPr>
          <w:rFonts w:ascii="Times New Roman" w:hAnsi="Times New Roman" w:cs="Times New Roman"/>
          <w:sz w:val="28"/>
          <w:szCs w:val="28"/>
        </w:rPr>
      </w:pPr>
      <w:r w:rsidRPr="004436FA">
        <w:rPr>
          <w:rFonts w:ascii="Times New Roman" w:hAnsi="Times New Roman" w:cs="Times New Roman"/>
          <w:sz w:val="28"/>
          <w:szCs w:val="28"/>
        </w:rPr>
        <w:t xml:space="preserve">Эффект переноса издержек на монопольном рынке при линейном спросе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ООО «Компания» является монополистом на рынке продукта А. Спрос на продукт А хорошо описывается линейной зависимостью: </w:t>
      </w:r>
      <w:r w:rsidRPr="004436FA">
        <w:rPr>
          <w:rFonts w:ascii="Times New Roman" w:hAnsi="Times New Roman" w:cs="Times New Roman"/>
          <w:i/>
          <w:sz w:val="28"/>
          <w:szCs w:val="28"/>
        </w:rPr>
        <w:t>П</w:t>
      </w:r>
      <w:r w:rsidRPr="004436FA">
        <w:rPr>
          <w:rFonts w:ascii="Times New Roman" w:hAnsi="Times New Roman" w:cs="Times New Roman"/>
          <w:sz w:val="28"/>
          <w:szCs w:val="28"/>
        </w:rPr>
        <w:t xml:space="preserve"> = 100 - </w:t>
      </w:r>
      <w:r w:rsidRPr="004436FA">
        <w:rPr>
          <w:rFonts w:ascii="Times New Roman" w:hAnsi="Times New Roman" w:cs="Times New Roman"/>
          <w:i/>
          <w:sz w:val="28"/>
          <w:szCs w:val="28"/>
        </w:rPr>
        <w:t>Ц</w:t>
      </w:r>
      <w:r w:rsidRPr="004436FA">
        <w:rPr>
          <w:rFonts w:ascii="Times New Roman" w:hAnsi="Times New Roman" w:cs="Times New Roman"/>
          <w:sz w:val="28"/>
          <w:szCs w:val="28"/>
        </w:rPr>
        <w:t xml:space="preserve">, где </w:t>
      </w:r>
      <w:r w:rsidRPr="004436FA">
        <w:rPr>
          <w:rFonts w:ascii="Times New Roman" w:hAnsi="Times New Roman" w:cs="Times New Roman"/>
          <w:i/>
          <w:sz w:val="28"/>
          <w:szCs w:val="28"/>
        </w:rPr>
        <w:t>П</w:t>
      </w:r>
      <w:r w:rsidRPr="004436FA">
        <w:rPr>
          <w:rFonts w:ascii="Times New Roman" w:hAnsi="Times New Roman" w:cs="Times New Roman"/>
          <w:sz w:val="28"/>
          <w:szCs w:val="28"/>
        </w:rPr>
        <w:t xml:space="preserve"> – объем продаж (в млн. штук), и </w:t>
      </w:r>
      <w:r w:rsidRPr="004436FA">
        <w:rPr>
          <w:rFonts w:ascii="Times New Roman" w:hAnsi="Times New Roman" w:cs="Times New Roman"/>
          <w:i/>
          <w:sz w:val="28"/>
          <w:szCs w:val="28"/>
        </w:rPr>
        <w:t>Ц</w:t>
      </w:r>
      <w:r w:rsidRPr="004436FA">
        <w:rPr>
          <w:rFonts w:ascii="Times New Roman" w:hAnsi="Times New Roman" w:cs="Times New Roman"/>
          <w:sz w:val="28"/>
          <w:szCs w:val="28"/>
        </w:rPr>
        <w:t xml:space="preserve"> – цена (в рублях).  Соответственно, обратный спрос </w:t>
      </w:r>
      <w:r w:rsidRPr="004436FA">
        <w:rPr>
          <w:rFonts w:ascii="Times New Roman" w:hAnsi="Times New Roman" w:cs="Times New Roman"/>
          <w:i/>
          <w:sz w:val="28"/>
          <w:szCs w:val="28"/>
        </w:rPr>
        <w:t>Ц</w:t>
      </w:r>
      <w:r w:rsidRPr="004436FA">
        <w:rPr>
          <w:rFonts w:ascii="Times New Roman" w:hAnsi="Times New Roman" w:cs="Times New Roman"/>
          <w:sz w:val="28"/>
          <w:szCs w:val="28"/>
        </w:rPr>
        <w:t xml:space="preserve"> = 100 - </w:t>
      </w:r>
      <w:r w:rsidRPr="004436FA">
        <w:rPr>
          <w:rFonts w:ascii="Times New Roman" w:hAnsi="Times New Roman" w:cs="Times New Roman"/>
          <w:i/>
          <w:sz w:val="28"/>
          <w:szCs w:val="28"/>
        </w:rPr>
        <w:t>П</w:t>
      </w:r>
      <w:r w:rsidRPr="004436FA">
        <w:rPr>
          <w:rFonts w:ascii="Times New Roman" w:hAnsi="Times New Roman" w:cs="Times New Roman"/>
          <w:sz w:val="28"/>
          <w:szCs w:val="28"/>
        </w:rPr>
        <w:t>.  Данный спрос представлен на диаграмме ниже.</w:t>
      </w:r>
    </w:p>
    <w:p w:rsidR="00DB066E" w:rsidRPr="004436FA" w:rsidRDefault="00B850EE" w:rsidP="00DB066E">
      <w:pPr>
        <w:pStyle w:val="RBBBox"/>
        <w:shd w:val="clear" w:color="auto" w:fill="DBE5F1"/>
        <w:spacing w:before="0" w:after="0" w:line="240" w:lineRule="auto"/>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group id="Canvas 13" o:spid="_x0000_s1026" editas="canvas" style="width:274.9pt;height:196.85pt;mso-position-horizontal-relative:char;mso-position-vertical-relative:line" coordsize="34912,24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912;height:24999;visibility:visible">
              <v:fill o:detectmouseclick="t"/>
              <v:path o:connecttype="none"/>
            </v:shape>
            <v:shapetype id="_x0000_t32" coordsize="21600,21600" o:spt="32" o:oned="t" path="m,l21600,21600e" filled="f">
              <v:path arrowok="t" fillok="f" o:connecttype="none"/>
              <o:lock v:ext="edit" shapetype="t"/>
            </v:shapetype>
            <v:shape id="Straight Arrow Connector 77" o:spid="_x0000_s1028" type="#_x0000_t32" style="position:absolute;left:4367;top:857;width:0;height:2160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bJFcEAAADbAAAADwAAAGRycy9kb3ducmV2LnhtbERPTYvCMBC9C/6HMIIXWVMVpHSNIguC&#10;yIKoe9nb0EybYjPpNrHW/fXmIHh8vO/Vpre16Kj1lWMFs2kCgjh3uuJSwc9l95GC8AFZY+2YFDzI&#10;w2Y9HKww0+7OJ+rOoRQxhH2GCkwITSalzw1Z9FPXEEeucK3FEGFbSt3iPYbbWs6TZCktVhwbDDb0&#10;ZSi/nm9WweT0W5VFcft++MX/MU0Oxz+Td0qNR/32E0SgPrzFL/deK1jGsfFL/AF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tskVwQAAANsAAAAPAAAAAAAAAAAAAAAA&#10;AKECAABkcnMvZG93bnJldi54bWxQSwUGAAAAAAQABAD5AAAAjwMAAAAA&#10;">
              <v:stroke endarrow="open"/>
            </v:shape>
            <v:shape id="Straight Arrow Connector 78" o:spid="_x0000_s1029" type="#_x0000_t32" style="position:absolute;left:14095;top:10575;width:0;height:21600;rotation:-9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o8SsMAAADbAAAADwAAAGRycy9kb3ducmV2LnhtbESPQWvCQBSE74X+h+UVvNVdJaRtdA3F&#10;Ioh4aWzvj+wzCc2+jdmtSf69KxR6HGbmG2adj7YVV+p941jDYq5AEJfONFxp+Drtnl9B+IBssHVM&#10;GibykG8eH9aYGTfwJ12LUIkIYZ+hhjqELpPSlzVZ9HPXEUfv7HqLIcq+kqbHIcJtK5dKpdJiw3Gh&#10;xo62NZU/xa/VYNXH8fiiFockuXxPu32wiVJLrWdP4/sKRKAx/If/2nujIX2D+5f4A+Tm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KPErDAAAA2wAAAA8AAAAAAAAAAAAA&#10;AAAAoQIAAGRycy9kb3ducmV2LnhtbFBLBQYAAAAABAAEAPkAAACRAwAAAAA=&#10;">
              <v:stroke endarrow="open"/>
            </v:shape>
            <v:line id="Straight Connector 16" o:spid="_x0000_s1030" style="position:absolute;visibility:visible" from="4367,4096" to="21642,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Straight Connector 79" o:spid="_x0000_s1031" style="position:absolute;visibility:visible" from="4367,4099" to="13007,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zE4sIAAADbAAAADwAAAGRycy9kb3ducmV2LnhtbESPS4vCMBSF98L8h3AH3GmqCx/VKMOA&#10;4MJR1GHWl+baVpubmsTa+fdGEFwezuPjzJetqURDzpeWFQz6CQjizOqScwW/x1VvAsIHZI2VZVLw&#10;Tx6Wi4/OHFNt77yn5hByEUfYp6igCKFOpfRZQQZ939bE0TtZZzBE6XKpHd7juKnkMElG0mDJkVBg&#10;Td8FZZfDzURulm/c9e98adenn83qys10e9wp1f1sv2YgArXhHX6111rBeADPL/EH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zE4sIAAADbAAAADwAAAAAAAAAAAAAA&#10;AAChAgAAZHJzL2Rvd25yZXYueG1sUEsFBgAAAAAEAAQA+QAAAJADAAAAAA==&#10;">
              <v:stroke dashstyle="dash"/>
            </v:line>
            <v:shapetype id="_x0000_t202" coordsize="21600,21600" o:spt="202" path="m,l,21600r21600,l21600,xe">
              <v:stroke joinstyle="miter"/>
              <v:path gradientshapeok="t" o:connecttype="rect"/>
            </v:shapetype>
            <v:shape id="Text Box 18" o:spid="_x0000_s1032" type="#_x0000_t202" style="position:absolute;left:1467;top:241;width:2724;height:256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c+f8UA&#10;AADbAAAADwAAAGRycy9kb3ducmV2LnhtbESPQWsCMRSE74L/ITzBS6lZPWhZjdIWFCmtUi3i8bF5&#10;3SxuXpYk6vrvG6HgcZiZb5jZorW1uJAPlWMFw0EGgrhwuuJSwc9++fwCIkRkjbVjUnCjAIt5tzPD&#10;XLsrf9NlF0uRIBxyVGBibHIpQ2HIYhi4hjh5v85bjEn6UmqP1wS3tRxl2VharDgtGGzo3VBx2p2t&#10;gpP5eNpmq6+3w3h985v92R3951Gpfq99nYKI1MZH+L+91gomI7h/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xz5/xQAAANsAAAAPAAAAAAAAAAAAAAAAAJgCAABkcnMv&#10;ZG93bnJldi54bWxQSwUGAAAAAAQABAD1AAAAigMAAAAA&#10;" filled="f" stroked="f" strokeweight=".5pt">
              <v:textbox>
                <w:txbxContent>
                  <w:p w:rsidR="00DB066E" w:rsidRPr="00547415" w:rsidRDefault="00DB066E" w:rsidP="00DB066E">
                    <w:pPr>
                      <w:rPr>
                        <w:i/>
                      </w:rPr>
                    </w:pPr>
                    <w:r>
                      <w:rPr>
                        <w:i/>
                      </w:rPr>
                      <w:t>Ц</w:t>
                    </w:r>
                  </w:p>
                </w:txbxContent>
              </v:textbox>
            </v:shape>
            <v:shape id="Text Box 18" o:spid="_x0000_s1033" type="#_x0000_t202" style="position:absolute;left:23285;top:21786;width:2788;height:256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b5MUA&#10;AADbAAAADwAAAGRycy9kb3ducmV2LnhtbESPQWsCMRSE7wX/Q3iFXkSzVrBlaxQVFCm2pSrF42Pz&#10;ulncvCxJ1PXfN4LQ4zAz3zDjaWtrcSYfKscKBv0MBHHhdMWlgv1u2XsFESKyxtoxKbhSgOmk8zDG&#10;XLsLf9N5G0uRIBxyVGBibHIpQ2HIYui7hjh5v85bjEn6UmqPlwS3tXzOspG0WHFaMNjQwlBx3J6s&#10;gqN5735lq4/5z2h99Z+7kzv4zUGpp8d29gYiUhv/w/f2Wit4Gc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i5vkxQAAANsAAAAPAAAAAAAAAAAAAAAAAJgCAABkcnMv&#10;ZG93bnJldi54bWxQSwUGAAAAAAQABAD1AAAAigMAAAAA&#10;" filled="f" stroked="f" strokeweight=".5pt">
              <v:textbox>
                <w:txbxContent>
                  <w:p w:rsidR="00DB066E" w:rsidRPr="008F53F4" w:rsidRDefault="00DB066E" w:rsidP="00DB066E">
                    <w:pPr>
                      <w:pStyle w:val="a3"/>
                      <w:spacing w:before="0" w:beforeAutospacing="0" w:after="200" w:line="288" w:lineRule="auto"/>
                      <w:rPr>
                        <w:color w:val="000000"/>
                      </w:rPr>
                    </w:pPr>
                    <w:r w:rsidRPr="008F53F4">
                      <w:rPr>
                        <w:rFonts w:ascii="Arial" w:eastAsia="Calibri" w:hAnsi="Arial"/>
                        <w:i/>
                        <w:iCs/>
                        <w:color w:val="000000"/>
                        <w:sz w:val="20"/>
                        <w:szCs w:val="20"/>
                      </w:rPr>
                      <w:t>П</w:t>
                    </w:r>
                  </w:p>
                </w:txbxContent>
              </v:textbox>
            </v:shape>
            <v:line id="Straight Connector 58" o:spid="_x0000_s1034" style="position:absolute;visibility:visible" from="4367,14462" to="21647,14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LZksYAAADbAAAADwAAAGRycy9kb3ducmV2LnhtbESPQWvCQBCF7wX/wzJCb3Wj1EZTV7Et&#10;BaGnWEt7HLLTbDA7m2a3JvrrXUHw+HjzvjdvseptLQ7U+sqxgvEoAUFcOF1xqWD3+f4wA+EDssba&#10;MSk4kofVcnC3wEy7jnM6bEMpIoR9hgpMCE0mpS8MWfQj1xBH79e1FkOUbSl1i12E21pOkuRJWqw4&#10;Nhhs6NVQsd/+2/hGOj295F9v89nPznx3+Tzlzd+HUvfDfv0MIlAfbsfX9EYrSB/hsiUCQC7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0S2ZLGAAAA2wAAAA8AAAAAAAAA&#10;AAAAAAAAoQIAAGRycy9kb3ducmV2LnhtbFBLBQYAAAAABAAEAPkAAACUAwAAAAA=&#10;">
              <v:stroke dashstyle="longDashDot"/>
            </v:line>
            <v:line id="Straight Connector 84" o:spid="_x0000_s1035" style="position:absolute;visibility:visible" from="4372,17937" to="21652,17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58CcUAAADbAAAADwAAAGRycy9kb3ducmV2LnhtbESPQWvCQBCF70L/wzKCN90oaDR1lVop&#10;CD3FWtrjkJ1mQ7OzaXZror++Kwg9Pt68781bb3tbizO1vnKsYDpJQBAXTldcKji9vYyXIHxA1lg7&#10;JgUX8rDdPAzWmGnXcU7nYyhFhLDPUIEJocmk9IUhi37iGuLofbnWYoiyLaVusYtwW8tZkiykxYpj&#10;g8GGng0V38dfG99I59dd/r5fLT9P5qPLVykffl6VGg37p0cQgfrwf3xPH7SCdA63LREAc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58CcUAAADbAAAADwAAAAAAAAAA&#10;AAAAAAChAgAAZHJzL2Rvd25yZXYueG1sUEsFBgAAAAAEAAQA+QAAAJMDAAAAAA==&#10;">
              <v:stroke dashstyle="longDashDot"/>
            </v:line>
            <v:line id="Straight Connector 59" o:spid="_x0000_s1036" style="position:absolute;flip:x y;visibility:visible" from="11292,11064" to="11292,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4XsMAAADbAAAADwAAAGRycy9kb3ducmV2LnhtbESP3YrCMBSE7wXfIRxh7zR1WVSqsaiw&#10;qLAI/uHtoTm2xeakNLHWffrNguDlMDPfMLOkNaVoqHaFZQXDQQSCOLW64EzB6fjdn4BwHlljaZkU&#10;PMlBMu92Zhhr++A9NQefiQBhF6OC3PsqltKlORl0A1sRB+9qa4M+yDqTusZHgJtSfkbRSBosOCzk&#10;WNEqp/R2uBsFqfHb53JHi/OFxr/7CO3wZ/2l1EevXUxBeGr9O/xqb7SC8Qj+v4Qf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f+F7DAAAA2wAAAA8AAAAAAAAAAAAA&#10;AAAAoQIAAGRycy9kb3ducmV2LnhtbFBLBQYAAAAABAAEAPkAAACRAwAAAAA=&#10;">
              <v:stroke dashstyle="1 1"/>
            </v:line>
            <v:line id="Straight Connector 86" o:spid="_x0000_s1037" style="position:absolute;flip:x;visibility:visible" from="4372,11064" to="11292,11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X8EAAADbAAAADwAAAGRycy9kb3ducmV2LnhtbESP3YrCMBSE7xd8h3AE79ZUL3SpRhFF&#10;FAXBnwc4NMc22JyUJtbq0xtB2MthZr5hpvPWlqKh2hvHCgb9BARx5rThXMHlvP79A+EDssbSMSl4&#10;kof5rPMzxVS7Bx+pOYVcRAj7FBUUIVSplD4ryKLvu4o4eldXWwxR1rnUNT4i3JZymCQjadFwXCiw&#10;omVB2e10twrC/rUxpjno3ZObl6fjboWXkVK9bruYgAjUhv/wt73VCsZj+HyJP0DO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j6VfwQAAANsAAAAPAAAAAAAAAAAAAAAA&#10;AKECAABkcnMvZG93bnJldi54bWxQSwUGAAAAAAQABAD5AAAAjwMAAAAA&#10;">
              <v:stroke dashstyle="1 1"/>
            </v:line>
            <v:line id="Straight Connector 87" o:spid="_x0000_s1038" style="position:absolute;flip:y;visibility:visible" from="9541,9324" to="9541,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yUtsIAAADbAAAADwAAAGRycy9kb3ducmV2LnhtbESP0YrCMBRE3wX/IVxh3zR1H1ytRhFF&#10;XBSEqh9wae62YZub0mRr9es3guDjMDNnmMWqs5VoqfHGsYLxKAFBnDttuFBwveyGUxA+IGusHJOC&#10;O3lYLfu9Baba3Tij9hwKESHsU1RQhlCnUvq8JIt+5Gri6P24xmKIsimkbvAW4baSn0kykRYNx4US&#10;a9qUlP+e/6yCcHzsjWlP+nDn9uEpO2zxOlHqY9Ct5yACdeEdfrW/tYKvGTy/xB8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VyUtsIAAADbAAAADwAAAAAAAAAAAAAA&#10;AAChAgAAZHJzL2Rvd25yZXYueG1sUEsFBgAAAAAEAAQA+QAAAJADAAAAAA==&#10;">
              <v:stroke dashstyle="1 1"/>
            </v:line>
            <v:line id="Straight Connector 88" o:spid="_x0000_s1039" style="position:absolute;flip:x;visibility:visible" from="4367,9324" to="9564,9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NNDLwAAADbAAAADwAAAGRycy9kb3ducmV2LnhtbERPSwrCMBDdC94hjOBOU12IVKOIIoqC&#10;4OcAQzO2wWZSmlirpzcLweXj/efL1paiodobxwpGwwQEcea04VzB7bodTEH4gKyxdEwK3uRhueh2&#10;5phq9+IzNZeQixjCPkUFRQhVKqXPCrLoh64ijtzd1RZDhHUudY2vGG5LOU6SibRoODYUWNG6oOxx&#10;eVoF4fjZGdOc9OHNzcfT+bDB20Spfq9dzUAEasNf/HPvtYJpXB+/xB8gF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QbNNDLwAAADbAAAADwAAAAAAAAAAAAAAAAChAgAA&#10;ZHJzL2Rvd25yZXYueG1sUEsFBgAAAAAEAAQA+QAAAIoDAAAAAA==&#10;">
              <v:stroke dashstyle="1 1"/>
            </v:line>
            <v:line id="Straight Connector 89" o:spid="_x0000_s1040" style="position:absolute;visibility:visible" from="15189,2789" to="17709,2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shape id="Text Box 92" o:spid="_x0000_s1041" type="#_x0000_t202" style="position:absolute;left:18852;top:1944;width:8787;height:18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j1+MMA&#10;AADbAAAADwAAAGRycy9kb3ducmV2LnhtbESP0YrCMBRE3wX/IVzBN031YZFqFBHU7oILq37Apbk2&#10;tc1NaWKtf78RFvZxmJkzzGrT21p01PrSsYLZNAFBnDtdcqHgetlPFiB8QNZYOyYFL/KwWQ8HK0y1&#10;e/IPdedQiAhhn6ICE0KTSulzQxb91DXE0bu51mKIsi2kbvEZ4baW8yT5kBZLjgsGG9oZyqvzwyo4&#10;lLfZ5burisZUn8fDV3a6Z/eg1HjUb5cgAvXhP/zXzrSCxRzeX+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j1+MMAAADbAAAADwAAAAAAAAAAAAAAAACYAgAAZHJzL2Rv&#10;d25yZXYueG1sUEsFBgAAAAAEAAQA9QAAAIgDAAAAAA==&#10;" filled="f" stroked="f" strokeweight=".5pt">
              <v:textbox inset="0,0,0,0">
                <w:txbxContent>
                  <w:p w:rsidR="00DB066E" w:rsidRPr="00547415" w:rsidRDefault="00DB066E" w:rsidP="00DB066E">
                    <w:r>
                      <w:t>Спрос</w:t>
                    </w:r>
                  </w:p>
                </w:txbxContent>
              </v:textbox>
            </v:shape>
            <v:line id="Straight Connector 98" o:spid="_x0000_s1042" style="position:absolute;visibility:visible" from="15189,4663" to="17709,4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ePKcIAAADbAAAADwAAAGRycy9kb3ducmV2LnhtbESPzYrCMBSF9wO+Q7iCuzFVQZxqFBEE&#10;F+owKq4vzbWtNjc1ibW+vRkYmOXh/Hyc2aI1lWjI+dKygkE/AUGcWV1yruB0XH9OQPiArLGyTApe&#10;5GEx73zMMNX2yT/UHEIu4gj7FBUUIdSplD4ryKDv25o4ehfrDIYoXS61w2ccN5UcJslYGiw5Egqs&#10;aVVQdjs8TORm+dbdz9dbu7nstus7N1/747dSvW67nIII1Ib/8F97oxVMRvD7Jf4AOX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0ePKcIAAADbAAAADwAAAAAAAAAAAAAA&#10;AAChAgAAZHJzL2Rvd25yZXYueG1sUEsFBgAAAAAEAAQA+QAAAJADAAAAAA==&#10;">
              <v:stroke dashstyle="dash"/>
            </v:line>
            <v:shape id="Text Box 99" o:spid="_x0000_s1043" type="#_x0000_t202" style="position:absolute;left:18852;top:3819;width:14076;height:18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IF8QA&#10;AADbAAAADwAAAGRycy9kb3ducmV2LnhtbESP3WrCQBSE7wu+w3IE7+pGEZHoKiJo04IFfx7gkD1m&#10;Y7JnQ3Yb07fvCkIvh5n5hllteluLjlpfOlYwGScgiHOnSy4UXC/79wUIH5A11o5JwS952KwHbytM&#10;tXvwibpzKESEsE9RgQmhSaX0uSGLfuwa4ujdXGsxRNkWUrf4iHBby2mSzKXFkuOCwYZ2hvLq/GMV&#10;HMrb5PLdVUVjqs+Pw1d2vGf3oNRo2G+XIAL14T/8amdawWIGzy/x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9yBfEAAAA2wAAAA8AAAAAAAAAAAAAAAAAmAIAAGRycy9k&#10;b3ducmV2LnhtbFBLBQYAAAAABAAEAPUAAACJAwAAAAA=&#10;" filled="f" stroked="f" strokeweight=".5pt">
              <v:textbox inset="0,0,0,0">
                <w:txbxContent>
                  <w:p w:rsidR="00DB066E" w:rsidRPr="00547415" w:rsidRDefault="00DB066E" w:rsidP="00DB066E">
                    <w:r>
                      <w:t>Предельная выручка</w:t>
                    </w:r>
                  </w:p>
                </w:txbxContent>
              </v:textbox>
            </v:shape>
            <v:line id="Straight Connector 100" o:spid="_x0000_s1044" style="position:absolute;visibility:visible" from="15189,6537" to="17709,6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4sMLsUAAADbAAAADwAAAGRycy9kb3ducmV2LnhtbESPQWvCQBCF7wX/wzJCb3VjwRpTV7Et&#10;BcFT1NIeh+yYDWZn0+zWpP56VxA8Pt68782bL3tbixO1vnKsYDxKQBAXTldcKtjvPp9SED4ga6wd&#10;k4J/8rBcDB7mmGnXcU6nbShFhLDPUIEJocmk9IUhi37kGuLoHVxrMUTZllK32EW4reVzkrxIixXH&#10;BoMNvRsqjts/G9+YTs5v+dfHLP3Zm+8un015/btR6nHYr15BBOrD/fiWXmsF6QSuWyIA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4sMLsUAAADbAAAADwAAAAAAAAAA&#10;AAAAAAChAgAAZHJzL2Rvd25yZXYueG1sUEsFBgAAAAAEAAQA+QAAAJMDAAAAAA==&#10;">
              <v:stroke dashstyle="longDashDot"/>
            </v:line>
            <v:shape id="Text Box 101" o:spid="_x0000_s1045" type="#_x0000_t202" style="position:absolute;left:18852;top:5692;width:14487;height:18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z+8MA&#10;AADbAAAADwAAAGRycy9kb3ducmV2LnhtbESP0YrCMBRE3xf8h3AF39ZUH0SqUURQuwsKq37Apbk2&#10;tc1NabK1/v1GEPZxmJkzzHLd21p01PrSsYLJOAFBnDtdcqHgetl9zkH4gKyxdkwKnuRhvRp8LDHV&#10;7sE/1J1DISKEfYoKTAhNKqXPDVn0Y9cQR+/mWoshyraQusVHhNtaTpNkJi2WHBcMNrQ1lFfnX6tg&#10;X94ml1NXFY2pvg777+x4z+5BqdGw3yxABOrDf/jdzrSC+Qxe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z+8MAAADbAAAADwAAAAAAAAAAAAAAAACYAgAAZHJzL2Rv&#10;d25yZXYueG1sUEsFBgAAAAAEAAQA9QAAAIgDAAAAAA==&#10;" filled="f" stroked="f" strokeweight=".5pt">
              <v:textbox inset="0,0,0,0">
                <w:txbxContent>
                  <w:p w:rsidR="00DB066E" w:rsidRPr="00547415" w:rsidRDefault="00DB066E" w:rsidP="00DB066E">
                    <w:r>
                      <w:t>Предельные издержки</w:t>
                    </w:r>
                  </w:p>
                </w:txbxContent>
              </v:textbox>
            </v:shape>
            <v:shape id="Text Box 104" o:spid="_x0000_s1046" type="#_x0000_t202" style="position:absolute;left:1435;top:7988;width:3175;height:257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XtwMUA&#10;AADbAAAADwAAAGRycy9kb3ducmV2LnhtbESPQWsCMRSE74L/ITzBi9RsPaisRmkLFZHWUi3i8bF5&#10;3SxuXpYk6vrvm4LgcZiZb5j5srW1uJAPlWMFz8MMBHHhdMWlgp/9+9MURIjIGmvHpOBGAZaLbmeO&#10;uXZX/qbLLpYiQTjkqMDE2ORShsKQxTB0DXHyfp23GJP0pdQerwluaznKsrG0WHFaMNjQm6HitDtb&#10;BSezGXxlq8/Xw3h989v92R39x1Gpfq99mYGI1MZH+N5eawXTCfx/S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Ze3AxQAAANsAAAAPAAAAAAAAAAAAAAAAAJgCAABkcnMv&#10;ZG93bnJldi54bWxQSwUGAAAAAAQABAD1AAAAigMAAAAA&#10;" filled="f" stroked="f" strokeweight=".5pt">
              <v:textbox>
                <w:txbxContent>
                  <w:p w:rsidR="00DB066E" w:rsidRPr="00547415" w:rsidRDefault="00DB066E" w:rsidP="00DB066E">
                    <w:pPr>
                      <w:rPr>
                        <w:i/>
                      </w:rPr>
                    </w:pPr>
                    <w:r>
                      <w:rPr>
                        <w:i/>
                      </w:rPr>
                      <w:t>Ц</w:t>
                    </w:r>
                    <w:r>
                      <w:rPr>
                        <w:i/>
                        <w:vertAlign w:val="subscript"/>
                      </w:rPr>
                      <w:t>2</w:t>
                    </w:r>
                  </w:p>
                </w:txbxContent>
              </v:textbox>
            </v:shape>
            <v:shape id="Text Box 105" o:spid="_x0000_s1047" type="#_x0000_t202" style="position:absolute;left:1460;top:9931;width:3175;height:256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5ssMA&#10;AADbAAAADwAAAGRycy9kb3ducmV2LnhtbERPy2oCMRTdC/2HcAvdSM20C5GpUWyhRUpVfCAuL5Pr&#10;ZJjJzZBkdPz7ZiG4PJz3dN7bRlzIh8qxgrdRBoK4cLriUsFh//06AREissbGMSm4UYD57GkwxVy7&#10;K2/psoulSCEcclRgYmxzKUNhyGIYuZY4cWfnLcYEfSm1x2sKt418z7KxtFhxajDY0pehot51VkFt&#10;foeb7Gf1eRwvb36979zJ/52UennuFx8gIvXxIb67l1rBJI1NX9IP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5ssMAAADbAAAADwAAAAAAAAAAAAAAAACYAgAAZHJzL2Rv&#10;d25yZXYueG1sUEsFBgAAAAAEAAQA9QAAAIgDAAAAAA==&#10;" filled="f" stroked="f" strokeweight=".5pt">
              <v:textbox>
                <w:txbxContent>
                  <w:p w:rsidR="00DB066E" w:rsidRPr="00547415" w:rsidRDefault="00DB066E" w:rsidP="00DB066E">
                    <w:pPr>
                      <w:rPr>
                        <w:i/>
                      </w:rPr>
                    </w:pPr>
                    <w:r>
                      <w:rPr>
                        <w:i/>
                      </w:rPr>
                      <w:t>Ц</w:t>
                    </w:r>
                    <w:r w:rsidRPr="00547415">
                      <w:rPr>
                        <w:i/>
                        <w:vertAlign w:val="subscript"/>
                      </w:rPr>
                      <w:t>1</w:t>
                    </w:r>
                  </w:p>
                </w:txbxContent>
              </v:textbox>
            </v:shape>
            <v:shape id="Text Box 108" o:spid="_x0000_s1048" type="#_x0000_t202" style="position:absolute;left:1467;top:13239;width:3010;height:257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bcKcUA&#10;AADbAAAADwAAAGRycy9kb3ducmV2LnhtbESPQWsCMRSE74L/ITzBi9RsPYhdjdIWKiKtUi3i8bF5&#10;3SxuXpYk6vrvm4LgcZiZb5jZorW1uJAPlWMFz8MMBHHhdMWlgp/9x9MERIjIGmvHpOBGARbzbmeG&#10;uXZX/qbLLpYiQTjkqMDE2ORShsKQxTB0DXHyfp23GJP0pdQerwluaznKsrG0WHFaMNjQu6HitDtb&#10;BSezHmyz5dfbYby6+c3+7I7+86hUv9e+TkFEauMjfG+vtILJC/x/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ttwpxQAAANsAAAAPAAAAAAAAAAAAAAAAAJgCAABkcnMv&#10;ZG93bnJldi54bWxQSwUGAAAAAAQABAD1AAAAigMAAAAA&#10;" filled="f" stroked="f" strokeweight=".5pt">
              <v:textbox>
                <w:txbxContent>
                  <w:p w:rsidR="00DB066E" w:rsidRPr="00547415" w:rsidRDefault="00DB066E" w:rsidP="00DB066E">
                    <w:pPr>
                      <w:rPr>
                        <w:i/>
                      </w:rPr>
                    </w:pPr>
                    <w:r>
                      <w:rPr>
                        <w:i/>
                      </w:rPr>
                      <w:t>С</w:t>
                    </w:r>
                    <w:r>
                      <w:rPr>
                        <w:i/>
                        <w:vertAlign w:val="subscript"/>
                      </w:rPr>
                      <w:t>2</w:t>
                    </w:r>
                  </w:p>
                </w:txbxContent>
              </v:textbox>
            </v:shape>
            <v:shape id="Text Box 109" o:spid="_x0000_s1049" type="#_x0000_t202" style="position:absolute;left:1492;top:16484;width:3010;height:25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XjacIA&#10;AADbAAAADwAAAGRycy9kb3ducmV2LnhtbERPy2oCMRTdC/5DuEI3opl2IXU0igotUvrAB+LyMrlO&#10;Bic3QxJ1/PtmIbg8nPd03tpaXMmHyrGC12EGgrhwuuJSwX73MXgHESKyxtoxKbhTgPms25lirt2N&#10;N3TdxlKkEA45KjAxNrmUoTBkMQxdQ5y4k/MWY4K+lNrjLYXbWr5l2UharDg1GGxoZag4by9Wwdl8&#10;9f+yz5/lYbS++9/dxR3991Gpl167mICI1Man+OFeawXjtD59ST9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VeNpwgAAANsAAAAPAAAAAAAAAAAAAAAAAJgCAABkcnMvZG93&#10;bnJldi54bWxQSwUGAAAAAAQABAD1AAAAhwMAAAAA&#10;" filled="f" stroked="f" strokeweight=".5pt">
              <v:textbox>
                <w:txbxContent>
                  <w:p w:rsidR="00DB066E" w:rsidRPr="00547415" w:rsidRDefault="00DB066E" w:rsidP="00DB066E">
                    <w:pPr>
                      <w:rPr>
                        <w:i/>
                      </w:rPr>
                    </w:pPr>
                    <w:r>
                      <w:rPr>
                        <w:i/>
                      </w:rPr>
                      <w:t>С</w:t>
                    </w:r>
                    <w:r w:rsidRPr="00547415">
                      <w:rPr>
                        <w:i/>
                        <w:vertAlign w:val="subscript"/>
                      </w:rPr>
                      <w:t>1</w:t>
                    </w:r>
                  </w:p>
                </w:txbxContent>
              </v:textbox>
            </v:shape>
            <v:shape id="Straight Arrow Connector 110" o:spid="_x0000_s1050" type="#_x0000_t32" style="position:absolute;left:20614;top:15078;width:0;height:216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kQr8UAAADbAAAADwAAAGRycy9kb3ducmV2LnhtbESPQWvCQBSE70L/w/IKXkQ3WhCNrlIE&#10;QaQg2l68PbIv2dDs25hdY/TXdwuCx2FmvmGW685WoqXGl44VjEcJCOLM6ZILBT/f2+EMhA/IGivH&#10;pOBOHtart94SU+1ufKT2FAoRIexTVGBCqFMpfWbIoh+5mjh6uWsshiibQuoGbxFuKzlJkqm0WHJc&#10;MFjTxlD2e7paBYPjuSzy/Pp19x+PwyzZHy4ma5Xqv3efCxCBuvAKP9s7rWA+hv8v8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kQr8UAAADbAAAADwAAAAAAAAAA&#10;AAAAAAChAgAAZHJzL2Rvd25yZXYueG1sUEsFBgAAAAAEAAQA+QAAAJMDAAAAAA==&#10;">
              <v:stroke endarrow="open"/>
            </v:shape>
            <w10:wrap type="none"/>
            <w10:anchorlock/>
          </v:group>
        </w:pic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Предельная выручка, а именно выручка от продажи дополнительной единицы товара, при снижающемся спросе будет равна 100 - 2</w:t>
      </w:r>
      <w:r w:rsidRPr="004436FA">
        <w:rPr>
          <w:rFonts w:ascii="Times New Roman" w:hAnsi="Times New Roman" w:cs="Times New Roman"/>
          <w:i/>
          <w:sz w:val="28"/>
          <w:szCs w:val="28"/>
        </w:rPr>
        <w:t>П</w:t>
      </w:r>
      <w:r w:rsidRPr="004436FA">
        <w:rPr>
          <w:rFonts w:ascii="Times New Roman" w:hAnsi="Times New Roman" w:cs="Times New Roman"/>
          <w:sz w:val="28"/>
          <w:szCs w:val="28"/>
        </w:rPr>
        <w:t>. (График кривой предельной выручки всегда находится под кривой спроса. Фактически это означает, что снижение цены ниже определенного уровня не покрывает издержек продавца и не имеет смысла, даже если при этом такое снижение приводит к дополнительным объемам продаж).</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Предположим, что первоначальная себестоимость производства равна </w:t>
      </w:r>
      <w:r w:rsidRPr="004436FA">
        <w:rPr>
          <w:rFonts w:ascii="Times New Roman" w:hAnsi="Times New Roman" w:cs="Times New Roman"/>
          <w:i/>
          <w:sz w:val="28"/>
          <w:szCs w:val="28"/>
        </w:rPr>
        <w:t>С</w:t>
      </w:r>
      <w:r w:rsidRPr="004436FA">
        <w:rPr>
          <w:rFonts w:ascii="Times New Roman" w:hAnsi="Times New Roman" w:cs="Times New Roman"/>
          <w:i/>
          <w:sz w:val="28"/>
          <w:szCs w:val="28"/>
          <w:vertAlign w:val="subscript"/>
        </w:rPr>
        <w:t>1</w:t>
      </w:r>
      <w:r w:rsidRPr="004436FA">
        <w:rPr>
          <w:rFonts w:ascii="Times New Roman" w:hAnsi="Times New Roman" w:cs="Times New Roman"/>
          <w:sz w:val="28"/>
          <w:szCs w:val="28"/>
        </w:rPr>
        <w:t xml:space="preserve"> = 20 руб./ед. Данная себестоимость складывается из фонда заработной платы в 5 руб. и из стоимости сырья в 15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ООО «Компания» получает наибольшую прибыль, если продажа дополнительной единицы товара не приносит дополнительной прибыли. То есть, максимум прибыли достигается в точке, где предельная выручка равна предельным издержкам. Простые расчеты показывают, что 100 - 2</w:t>
      </w:r>
      <w:r w:rsidRPr="004436FA">
        <w:rPr>
          <w:rFonts w:ascii="Times New Roman" w:hAnsi="Times New Roman" w:cs="Times New Roman"/>
          <w:i/>
          <w:sz w:val="28"/>
          <w:szCs w:val="28"/>
        </w:rPr>
        <w:t>П</w:t>
      </w:r>
      <w:r w:rsidRPr="004436FA">
        <w:rPr>
          <w:rFonts w:ascii="Times New Roman" w:hAnsi="Times New Roman" w:cs="Times New Roman"/>
          <w:sz w:val="28"/>
          <w:szCs w:val="28"/>
        </w:rPr>
        <w:t xml:space="preserve"> = 20, или </w:t>
      </w:r>
      <w:r w:rsidRPr="004436FA">
        <w:rPr>
          <w:rFonts w:ascii="Times New Roman" w:hAnsi="Times New Roman" w:cs="Times New Roman"/>
          <w:i/>
          <w:sz w:val="28"/>
          <w:szCs w:val="28"/>
        </w:rPr>
        <w:t>П</w:t>
      </w:r>
      <w:r w:rsidRPr="004436FA">
        <w:rPr>
          <w:rFonts w:ascii="Times New Roman" w:hAnsi="Times New Roman" w:cs="Times New Roman"/>
          <w:i/>
          <w:sz w:val="28"/>
          <w:szCs w:val="28"/>
          <w:vertAlign w:val="subscript"/>
        </w:rPr>
        <w:t>1</w:t>
      </w:r>
      <w:r w:rsidRPr="004436FA">
        <w:rPr>
          <w:rFonts w:ascii="Times New Roman" w:hAnsi="Times New Roman" w:cs="Times New Roman"/>
          <w:sz w:val="28"/>
          <w:szCs w:val="28"/>
        </w:rPr>
        <w:t xml:space="preserve"> = 40 и </w:t>
      </w:r>
      <w:r w:rsidRPr="004436FA">
        <w:rPr>
          <w:rFonts w:ascii="Times New Roman" w:hAnsi="Times New Roman" w:cs="Times New Roman"/>
          <w:i/>
          <w:sz w:val="28"/>
          <w:szCs w:val="28"/>
        </w:rPr>
        <w:t>Ц</w:t>
      </w:r>
      <w:r w:rsidRPr="004436FA">
        <w:rPr>
          <w:rFonts w:ascii="Times New Roman" w:hAnsi="Times New Roman" w:cs="Times New Roman"/>
          <w:i/>
          <w:sz w:val="28"/>
          <w:szCs w:val="28"/>
          <w:vertAlign w:val="subscript"/>
        </w:rPr>
        <w:t>1</w:t>
      </w:r>
      <w:r w:rsidRPr="004436FA">
        <w:rPr>
          <w:rFonts w:ascii="Times New Roman" w:hAnsi="Times New Roman" w:cs="Times New Roman"/>
          <w:sz w:val="28"/>
          <w:szCs w:val="28"/>
        </w:rPr>
        <w:t xml:space="preserve"> = 100 - 40 = 60. Иными словами, изначально продажа 40 ед. продукции по цене 60 руб./ед. является для данного хозяйствующего субъекта оптимальной.</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Допустим теперь, что картельное соглашение на рынке верхнего передела приводит к росту единицы сырья с 15 до 35 руб./ед., что ведет к росту себестоимости до </w:t>
      </w:r>
      <w:r w:rsidRPr="004436FA">
        <w:rPr>
          <w:rFonts w:ascii="Times New Roman" w:hAnsi="Times New Roman" w:cs="Times New Roman"/>
          <w:i/>
          <w:sz w:val="28"/>
          <w:szCs w:val="28"/>
        </w:rPr>
        <w:t>С</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40 руб./ед. ООО «Компания» устанавливает новые цены так, чтобы вновь максимизировать собственную прибыль. Повторяя предыдущие расчеты, мы имеем 100 - 2</w:t>
      </w:r>
      <w:r w:rsidRPr="004436FA">
        <w:rPr>
          <w:rFonts w:ascii="Times New Roman" w:hAnsi="Times New Roman" w:cs="Times New Roman"/>
          <w:i/>
          <w:sz w:val="28"/>
          <w:szCs w:val="28"/>
        </w:rPr>
        <w:t>П</w:t>
      </w:r>
      <w:r w:rsidRPr="004436FA">
        <w:rPr>
          <w:rFonts w:ascii="Times New Roman" w:hAnsi="Times New Roman" w:cs="Times New Roman"/>
          <w:sz w:val="28"/>
          <w:szCs w:val="28"/>
        </w:rPr>
        <w:t xml:space="preserve"> = 40, или </w:t>
      </w:r>
      <w:r w:rsidRPr="004436FA">
        <w:rPr>
          <w:rFonts w:ascii="Times New Roman" w:hAnsi="Times New Roman" w:cs="Times New Roman"/>
          <w:i/>
          <w:sz w:val="28"/>
          <w:szCs w:val="28"/>
        </w:rPr>
        <w:t>П</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30 и </w:t>
      </w:r>
      <w:r w:rsidRPr="004436FA">
        <w:rPr>
          <w:rFonts w:ascii="Times New Roman" w:hAnsi="Times New Roman" w:cs="Times New Roman"/>
          <w:i/>
          <w:sz w:val="28"/>
          <w:szCs w:val="28"/>
        </w:rPr>
        <w:t>Ц</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100 - 30 = 70.  Как видно, себестоимость возросла на 20 руб., но оптимальная цена возросла лишь на 10 руб.: с 60 до 70 руб./ед. Иными словами, эффект переноса составил 50%.</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Для сравнения, если бы ООО «Компания» выбрало перенести весь рост издержек на собственных покупателей, то ее итоговая прибыль была бы меньше. Так, при переносе 50% роста издержек прибыль составит </w:t>
      </w:r>
      <w:r w:rsidRPr="004436FA">
        <w:rPr>
          <w:rFonts w:ascii="Times New Roman" w:hAnsi="Times New Roman" w:cs="Times New Roman"/>
          <w:i/>
          <w:sz w:val="28"/>
          <w:szCs w:val="28"/>
        </w:rPr>
        <w:t>П</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w:t>
      </w:r>
      <w:r w:rsidRPr="004436FA">
        <w:rPr>
          <w:rFonts w:ascii="Times New Roman" w:hAnsi="Times New Roman" w:cs="Times New Roman"/>
          <w:i/>
          <w:sz w:val="28"/>
          <w:szCs w:val="28"/>
        </w:rPr>
        <w:t>Ц</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w:t>
      </w:r>
      <w:r w:rsidRPr="004436FA">
        <w:rPr>
          <w:rFonts w:ascii="Times New Roman" w:hAnsi="Times New Roman" w:cs="Times New Roman"/>
          <w:i/>
          <w:sz w:val="28"/>
          <w:szCs w:val="28"/>
        </w:rPr>
        <w:t>С</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900 млн. руб.  В то время как при переносе 100% роста издержек прибыль составит (100 - 80) · (80 - 40) = 800 млн. руб. По этой причине ООО «Компания» не будет переносить весь рост издержек на своих покупателей </w:t>
      </w:r>
      <w:r w:rsidRPr="004436FA">
        <w:rPr>
          <w:rFonts w:ascii="Times New Roman" w:hAnsi="Times New Roman" w:cs="Times New Roman"/>
          <w:sz w:val="28"/>
          <w:szCs w:val="28"/>
        </w:rPr>
        <w:lastRenderedPageBreak/>
        <w:t>несмотря на то, что оно является монополистом и, возможно, обладает существенной рыночной властью.</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Важно подчеркнуть, что наличие эффекта переноса должно соответствующим образом приниматься во внимание при расчете убытков. А именно, расчет убытков для конкретного покупателя должен быть основан на его собственной упущенной выгоде в результате нарушения и не должен включать те издержки, которые покупатель сумел покрыть за счет увеличения собственных отпускных цен.</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Наконец стоит отметить определенную взаимосвязь между эффектом переноса и эффектом упущенных объемов. Оба эффекта зависят от чувствительности (эластичности) спроса на рынке нижнего передела. Чем выше эффект переноса, тем более значительным будет повышение цен. Но при этом, тем более значительным будет сокращение спроса и, следовательно, эффект упущенных объемов. Следовательно, даже если весь </w:t>
      </w:r>
      <w:proofErr w:type="spellStart"/>
      <w:r w:rsidRPr="004436FA">
        <w:rPr>
          <w:rFonts w:ascii="Times New Roman" w:hAnsi="Times New Roman" w:cs="Times New Roman"/>
          <w:sz w:val="28"/>
          <w:szCs w:val="28"/>
        </w:rPr>
        <w:t>антиконкурентный</w:t>
      </w:r>
      <w:proofErr w:type="spellEnd"/>
      <w:r w:rsidRPr="004436FA">
        <w:rPr>
          <w:rFonts w:ascii="Times New Roman" w:hAnsi="Times New Roman" w:cs="Times New Roman"/>
          <w:sz w:val="28"/>
          <w:szCs w:val="28"/>
        </w:rPr>
        <w:t xml:space="preserve"> рост цен был полностью переложен пострадавшими лицами на последующих покупателей, это не означает, что пострадавшие лица не понесли убытков. По меньшей мере, их убытки равны величине эффекта упущенных объемов.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Важно понимать, что хотя эффекты переноса и упущенных объемов частично компенсируют друг друга, в общем случае они не обязательно являются равнозначными. По этой причине на практике оба эффекта необходимо отдельно учитывать при оценке убытка.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58" w:name="_Ref406684124"/>
      <w:bookmarkStart w:id="59" w:name="_Toc487536234"/>
      <w:r w:rsidRPr="004436FA">
        <w:rPr>
          <w:rFonts w:ascii="Times New Roman" w:hAnsi="Times New Roman"/>
          <w:color w:val="auto"/>
          <w:sz w:val="28"/>
          <w:szCs w:val="28"/>
        </w:rPr>
        <w:t>3.3. Модельные примеры расчета убытков, эффектов завышенных цен, упущенных объемов и переноса издержек</w:t>
      </w:r>
      <w:bookmarkEnd w:id="58"/>
      <w:r w:rsidRPr="004436FA">
        <w:rPr>
          <w:rFonts w:ascii="Times New Roman" w:hAnsi="Times New Roman"/>
          <w:color w:val="auto"/>
          <w:sz w:val="28"/>
          <w:szCs w:val="28"/>
        </w:rPr>
        <w:t>.</w:t>
      </w:r>
      <w:bookmarkEnd w:id="59"/>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общем случае расчет убытков, вызванных установлением необоснованно высоких цен, проводится следующим образом:</w:t>
      </w:r>
    </w:p>
    <w:p w:rsidR="00DB066E" w:rsidRPr="004436FA" w:rsidRDefault="00DB066E" w:rsidP="00DB066E">
      <w:pPr>
        <w:pStyle w:val="ConsPlusNormal"/>
        <w:numPr>
          <w:ilvl w:val="0"/>
          <w:numId w:val="36"/>
        </w:numPr>
        <w:tabs>
          <w:tab w:val="left" w:pos="851"/>
        </w:tabs>
        <w:ind w:left="0" w:firstLine="709"/>
        <w:jc w:val="both"/>
      </w:pPr>
      <w:r w:rsidRPr="004436FA">
        <w:t xml:space="preserve">Вначале рассчитывается, насколько цена в период нарушения превысила ту цену, которая могла бы установиться при отсутствии нарушения. </w:t>
      </w:r>
    </w:p>
    <w:p w:rsidR="00DB066E" w:rsidRPr="004436FA" w:rsidRDefault="00DB066E" w:rsidP="00DB066E">
      <w:pPr>
        <w:pStyle w:val="ConsPlusNormal"/>
        <w:numPr>
          <w:ilvl w:val="0"/>
          <w:numId w:val="36"/>
        </w:numPr>
        <w:tabs>
          <w:tab w:val="left" w:pos="851"/>
        </w:tabs>
        <w:ind w:left="0" w:firstLine="709"/>
        <w:jc w:val="both"/>
      </w:pPr>
      <w:r w:rsidRPr="004436FA">
        <w:t>Умножая разницу между данными ценами на объем производства в период нарушения, мы получаем убытки, понесенные за счет завышенных цен.</w:t>
      </w:r>
    </w:p>
    <w:p w:rsidR="00DB066E" w:rsidRPr="004436FA" w:rsidRDefault="00DB066E" w:rsidP="00DB066E">
      <w:pPr>
        <w:pStyle w:val="ConsPlusNormal"/>
        <w:numPr>
          <w:ilvl w:val="0"/>
          <w:numId w:val="36"/>
        </w:numPr>
        <w:tabs>
          <w:tab w:val="left" w:pos="851"/>
        </w:tabs>
        <w:ind w:left="0" w:firstLine="709"/>
        <w:jc w:val="both"/>
      </w:pPr>
      <w:r w:rsidRPr="004436FA">
        <w:t>Из указанных убытков следует вычесть те, что были компенсированы за счет эффекта переноса (рост цен на рынке нижнего передела, умноженный на объем производства в период нарушения).</w:t>
      </w:r>
    </w:p>
    <w:p w:rsidR="00DB066E" w:rsidRPr="004436FA" w:rsidRDefault="00DB066E" w:rsidP="00DB066E">
      <w:pPr>
        <w:pStyle w:val="ConsPlusNormal"/>
        <w:numPr>
          <w:ilvl w:val="0"/>
          <w:numId w:val="36"/>
        </w:numPr>
        <w:tabs>
          <w:tab w:val="left" w:pos="851"/>
        </w:tabs>
        <w:ind w:left="0" w:firstLine="709"/>
        <w:jc w:val="both"/>
      </w:pPr>
      <w:r w:rsidRPr="004436FA">
        <w:t>Дополнительно требуется оценить убытки, вызванные упущенными объемами. В общем случае данные убытки будут тем более значимы, чем более существенным был эффект переноса издержек.</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Описанные в разделе 2 методы сравнительного экономического анализа, а также финансового и экономического моделирования обычно применимы для всех этих расчетов. Например, для оценки эффекта завышенных цен может быть применен сравнительный экономический анализ, либо с использованием данных с сопоставимых рынков, либо на </w:t>
      </w:r>
      <w:r w:rsidRPr="004436FA">
        <w:rPr>
          <w:rFonts w:ascii="Times New Roman" w:hAnsi="Times New Roman" w:cs="Times New Roman"/>
          <w:sz w:val="28"/>
          <w:szCs w:val="28"/>
        </w:rPr>
        <w:lastRenderedPageBreak/>
        <w:t>основе данных до и после нарушения. Для оценки эффекта упущенных объемов может проводиться исследование чувствительности (эластичности) спроса.  Эффект переноса издержек представляется возможным оценить с помощью эконометрического анализа, при котором моделируется зависимость между издержками и отпускными ценами пострадавшего лица.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Для наглядного примера расчетов убытков, причиненных установлением (поддержанием) необоснованно высоких цен, рассмотрим следующий гипотетический пример. </w:t>
      </w:r>
    </w:p>
    <w:p w:rsidR="00DB066E" w:rsidRPr="004436FA" w:rsidRDefault="00DB066E" w:rsidP="00DB066E">
      <w:pPr>
        <w:pStyle w:val="RBBBoxTitle"/>
        <w:shd w:val="clear" w:color="auto" w:fill="DBE5F1"/>
        <w:spacing w:before="0" w:after="0" w:line="240" w:lineRule="auto"/>
        <w:ind w:firstLine="709"/>
        <w:jc w:val="both"/>
        <w:rPr>
          <w:rFonts w:ascii="Times New Roman" w:hAnsi="Times New Roman" w:cs="Times New Roman"/>
          <w:sz w:val="28"/>
          <w:szCs w:val="28"/>
        </w:rPr>
      </w:pPr>
      <w:r w:rsidRPr="004436FA">
        <w:rPr>
          <w:rFonts w:ascii="Times New Roman" w:hAnsi="Times New Roman" w:cs="Times New Roman"/>
          <w:b w:val="0"/>
          <w:sz w:val="28"/>
          <w:szCs w:val="28"/>
        </w:rPr>
        <w:t>АО «Компания 1» является одним из основных производителей некого продукта А для общероссийского рынка. Для производства продукта А требуется промежуточный продукт Б, который АО «Компания 1» закупает локально в собственном регионе. Локальные производители продукта Б приходят к ценовому картельному сговору, что влечет за собой увеличение издержек производства для АО «Компания 1». При этом конкуренты АО «Компания 1» расположены в других регионах и в данном случае не подвержены негативным эффектам ценового сговора.</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До ценового сговора себестоимость продукта А производства АО «Компания 1» составляла С</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48 тыс. руб./тонну. При этом АО «Компания 1» отпускала свой продукт по цене Ц</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59 тыс. руб./тонну и ее годовой объем продаж составлял П</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6 млн. тонн. Годовая прибыль, соответственно, была равна 66 млрд. руб. = (59 тыс. – 48 тыс.) * 6 млн. тонн.</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Предположим, что в результате ценового картельного сговора себестоимость возросла на 2 тыс. руб. и достигла С</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50 тыс. руб./тонну. АО «Компания 1» сочло целесообразным поднять собственную отпускную цену на 1 тыс. руб., так что новая цена составила Ц</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60 тыс. руб./тонну. Эффект переноса издержек составил 50% = 1000 руб. / 2000 руб. (Иными словами, из 2000 руб., приходящихся на увеличение себестоимости, компания переложила на потребителей половину, т.е. 1000 руб.) В результате поднятия отпускной цены спрос на продукцию компании упал с 6 млн. тонн в год до П</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5 млн. тонн в год. Новая прибыль составила 50 млрд. руб.</w:t>
      </w:r>
    </w:p>
    <w:p w:rsidR="00DB066E" w:rsidRPr="004436FA" w:rsidRDefault="00B850EE" w:rsidP="00DB066E">
      <w:pPr>
        <w:pStyle w:val="RBBBox"/>
        <w:shd w:val="clear" w:color="auto" w:fill="DBE5F1"/>
        <w:spacing w:before="0" w:after="0" w:line="240" w:lineRule="auto"/>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group id="Canvas 2" o:spid="_x0000_s1051" editas="canvas" style="width:501.2pt;height:288.85pt;mso-position-horizontal-relative:char;mso-position-vertical-relative:line" coordsize="63652,36683">
            <v:shape id="_x0000_s1052" type="#_x0000_t75" style="position:absolute;width:63652;height:36683;visibility:visible">
              <v:fill o:detectmouseclick="t"/>
              <v:path o:connecttype="none"/>
            </v:shape>
            <v:rect id="Rectangle 62" o:spid="_x0000_s1053" style="position:absolute;left:4427;top:15048;width:9277;height:72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OFbMMA&#10;AADbAAAADwAAAGRycy9kb3ducmV2LnhtbESPQWvCQBCF70L/wzKF3nSjh7ZEV5FCJdBctIIex+yY&#10;BLOzS3Y16b/vHAq9zfDevPfNajO6Tj2oj61nA/NZBoq48rbl2sDx+3P6DiomZIudZzLwQxE266fJ&#10;CnPrB97T45BqJSEcczTQpBRyrWPVkMM484FYtKvvHSZZ+1rbHgcJd51eZNmrdtiyNDQY6KOh6na4&#10;OwP3Mgy4e6uL8jwvTuV1fyEOX8a8PI/bJahEY/o3/10XVvAFVn6RAf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OFbMMAAADbAAAADwAAAAAAAAAAAAAAAACYAgAAZHJzL2Rv&#10;d25yZXYueG1sUEsFBgAAAAAEAAQA9QAAAIgDAAAAAA==&#10;" fillcolor="black" stroked="f" strokeweight="2pt">
              <v:fill r:id="rId53" o:title="" type="pattern"/>
              <v:textbox>
                <w:txbxContent>
                  <w:p w:rsidR="00DB066E" w:rsidRDefault="00DB066E" w:rsidP="00DB066E"/>
                </w:txbxContent>
              </v:textbox>
            </v:rect>
            <v:rect id="Rectangle 34" o:spid="_x0000_s1054" style="position:absolute;left:31020;top:13408;width:7773;height:16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L2MIA&#10;AADbAAAADwAAAGRycy9kb3ducmV2LnhtbERPS2vCQBC+F/wPywi91Y0eUpu6iogWyUGoCr1Os2Oy&#10;mJ0N2c3Df98tFHqbj+85q81oa9FT641jBfNZAoK4cNpwqeB6ObwsQfiArLF2TAoe5GGznjytMNNu&#10;4E/qz6EUMYR9hgqqEJpMSl9UZNHPXEMcuZtrLYYI21LqFocYbmu5SJJUWjQcGypsaFdRcT93VkH+&#10;bb5y3TXdx+lUH/aX5fU1NXulnqfj9h1EoDH8i//cRx3nv8HvL/E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x4vYwgAAANsAAAAPAAAAAAAAAAAAAAAAAJgCAABkcnMvZG93&#10;bnJldi54bWxQSwUGAAAAAAQABAD1AAAAhwMAAAAA&#10;" fillcolor="black" stroked="f" strokeweight="2pt">
              <v:fill r:id="rId54" o:title="" type="pattern"/>
              <v:textbox>
                <w:txbxContent>
                  <w:p w:rsidR="00DB066E" w:rsidRDefault="00DB066E" w:rsidP="00DB066E"/>
                </w:txbxContent>
              </v:textbox>
            </v:rect>
            <v:rect id="Rectangle 33" o:spid="_x0000_s1055" style="position:absolute;left:31021;top:19243;width:7764;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ewfMAA&#10;AADbAAAADwAAAGRycy9kb3ducmV2LnhtbERPz2vCMBS+D/wfwhO8zVQPZVSjiKAIU9iqeH42z6TY&#10;vJQms/W/Xw6DHT++38v14BrxpC7UnhXMphkI4srrmo2Cy3n3/gEiRGSNjWdS8KIA69XobYmF9j1/&#10;07OMRqQQDgUqsDG2hZShsuQwTH1LnLi77xzGBDsjdYd9CneNnGdZLh3WnBostrS1VD3KH6dgW34d&#10;96Y3/aXOd7m9Xd2nOV2VmoyHzQJEpCH+i//cB61gntanL+kHyN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ewfMAAAADbAAAADwAAAAAAAAAAAAAAAACYAgAAZHJzL2Rvd25y&#10;ZXYueG1sUEsFBgAAAAAEAAQA9QAAAIUDAAAAAA==&#10;" fillcolor="black" stroked="f" strokeweight="2pt">
              <v:fill r:id="rId55" o:title="" type="pattern"/>
              <v:textbox>
                <w:txbxContent>
                  <w:p w:rsidR="00DB066E" w:rsidRDefault="00DB066E" w:rsidP="00DB066E"/>
                </w:txbxContent>
              </v:textbox>
            </v:rect>
            <v:rect id="Rectangle 32" o:spid="_x0000_s1056" style="position:absolute;left:38792;top:15014;width:1501;height:72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XmTMMA&#10;AADbAAAADwAAAGRycy9kb3ducmV2LnhtbESPQWvCQBSE7wX/w/IEb3UTD7ZEVxHBEmguWkGPz+wz&#10;CWbfLtnVxH/vFgo9DjPzDbNcD6YVD+p8Y1lBOk1AEJdWN1wpOP7s3j9B+ICssbVMCp7kYb0avS0x&#10;07bnPT0OoRIRwj5DBXUILpPSlzUZ9FPriKN3tZ3BEGVXSd1hH+GmlbMkmUuDDceFGh1taypvh7tR&#10;cC9cj18fVV6c0/xUXPcXYvet1GQ8bBYgAg3hP/zXzrWCWQq/X+I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XmTMMAAADbAAAADwAAAAAAAAAAAAAAAACYAgAAZHJzL2Rv&#10;d25yZXYueG1sUEsFBgAAAAAEAAQA9QAAAIgDAAAAAA==&#10;" fillcolor="black" stroked="f" strokeweight="2pt">
              <v:fill r:id="rId53" o:title="" type="pattern"/>
            </v:rect>
            <v:shape id="Straight Arrow Connector 3" o:spid="_x0000_s1057" type="#_x0000_t32" style="position:absolute;left:4427;top:2410;width:0;height:2406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RHP8UAAADbAAAADwAAAGRycy9kb3ducmV2LnhtbESPT4vCMBTE78J+h/AEL7KmVlikGkUW&#10;FkQE8c9lb4/mtSk2L90m1uqnNwsLexxm5jfMct3bWnTU+sqxgukkAUGcO11xqeBy/nqfg/ABWWPt&#10;mBQ8yMN69TZYYqbdnY/UnUIpIoR9hgpMCE0mpc8NWfQT1xBHr3CtxRBlW0rd4j3CbS3TJPmQFiuO&#10;CwYb+jSUX083q2B8/K7KorjtH372PMyT3eHH5J1So2G/WYAI1If/8F97qxWkKfx+iT9Ar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RHP8UAAADbAAAADwAAAAAAAAAA&#10;AAAAAAChAgAAZHJzL2Rvd25yZXYueG1sUEsFBgAAAAAEAAQA+QAAAJMDAAAAAA==&#10;">
              <v:stroke endarrow="open"/>
            </v:shape>
            <v:shape id="Straight Arrow Connector 5" o:spid="_x0000_s1058" type="#_x0000_t32" style="position:absolute;left:3234;top:25277;width:2329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5w8MAAADbAAAADwAAAGRycy9kb3ducmV2LnhtbESPQWvCQBSE7wX/w/KEXkrdGNFKdCMi&#10;tBU8qYVeH9mXbEj2bciuMf33XaHQ4zAz3zDb3WhbMVDva8cK5rMEBHHhdM2Vgq/r++sahA/IGlvH&#10;pOCHPOzyydMWM+3ufKbhEioRIewzVGBC6DIpfWHIop+5jjh6pesthij7Suoe7xFuW5kmyUparDku&#10;GOzoYKhoLjeroEw1zV+ab/P5tsTycFqkw9B+KPU8HfcbEIHG8B/+ax+1gnQB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RucPDAAAA2wAAAA8AAAAAAAAAAAAA&#10;AAAAoQIAAGRycy9kb3ducmV2LnhtbFBLBQYAAAAABAAEAPkAAACRAwAAAAA=&#10;">
              <v:stroke endarrow="open"/>
            </v:shape>
            <v:line id="Straight Connector 9" o:spid="_x0000_s1059" style="position:absolute;visibility:visible" from="4427,5152" to="23309,25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Straight Connector 11" o:spid="_x0000_s1060" style="position:absolute;visibility:visible" from="4428,22328" to="20554,22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Straight Connector 12" o:spid="_x0000_s1061" style="position:absolute;visibility:visible" from="4428,19276" to="17697,19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Straight Connector 14" o:spid="_x0000_s1062" style="position:absolute;visibility:visible" from="4428,13442" to="12200,13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Straight Connector 15" o:spid="_x0000_s1063" style="position:absolute;visibility:visible" from="4428,15048" to="13705,1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shape id="Text Box 18" o:spid="_x0000_s1064" type="#_x0000_t202" style="position:absolute;left:1505;top:18014;width:3245;height:24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CDE8UA&#10;AADbAAAADwAAAGRycy9kb3ducmV2LnhtbESPQWsCMRSE74L/ITzBS6lZPYhdjdIWFCmtUi3i8bF5&#10;3SxuXpYk6vrvG6HgcZiZb5jZorW1uJAPlWMFw0EGgrhwuuJSwc9++TwBESKyxtoxKbhRgMW825lh&#10;rt2Vv+myi6VIEA45KjAxNrmUoTBkMQxcQ5y8X+ctxiR9KbXHa4LbWo6ybCwtVpwWDDb0bqg47c5W&#10;wcl8PG2z1dfbYby++c3+7I7+86hUv9e+TkFEauMj/N9eawWjF7h/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0IMT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С</w:t>
                    </w:r>
                    <w:r>
                      <w:rPr>
                        <w:rFonts w:ascii="Arial" w:eastAsia="Calibri" w:hAnsi="Arial"/>
                        <w:sz w:val="20"/>
                        <w:szCs w:val="20"/>
                        <w:vertAlign w:val="subscript"/>
                      </w:rPr>
                      <w:t>З</w:t>
                    </w:r>
                  </w:p>
                </w:txbxContent>
              </v:textbox>
            </v:shape>
            <v:shape id="Text Box 18" o:spid="_x0000_s1065" type="#_x0000_t202" style="position:absolute;left:1505;top:21031;width:3232;height:24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O8U8IA&#10;AADbAAAADwAAAGRycy9kb3ducmV2LnhtbERPTWsCMRC9C/0PYQpeimZVkLIapS0oIlapingcNtPN&#10;4mayJFHXf98cCh4f73s6b20tbuRD5VjBoJ+BIC6crrhUcDwseu8gQkTWWDsmBQ8KMJ+9dKaYa3fn&#10;H7rtYylSCIccFZgYm1zKUBiyGPquIU7cr/MWY4K+lNrjPYXbWg6zbCwtVpwaDDb0Zai47K9WwcWs&#10;33bZ8vvzNF49/PZwdWe/OSvVfW0/JiAitfEp/nevtIJRWp++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M7xTwgAAANsAAAAPAAAAAAAAAAAAAAAAAJgCAABkcnMvZG93&#10;bnJldi54bWxQSwUGAAAAAAQABAD1AAAAhwMAAAAA&#10;" filled="f" stroked="f" strokeweight=".5pt">
              <v:textbox>
                <w:txbxContent>
                  <w:p w:rsidR="00DB066E" w:rsidRPr="007E57C8" w:rsidRDefault="00DB066E" w:rsidP="00DB066E">
                    <w:pPr>
                      <w:pStyle w:val="a3"/>
                      <w:spacing w:before="0" w:beforeAutospacing="0" w:after="200" w:line="288" w:lineRule="auto"/>
                      <w:jc w:val="right"/>
                      <w:rPr>
                        <w:vertAlign w:val="subscript"/>
                      </w:rPr>
                    </w:pPr>
                    <w:r>
                      <w:rPr>
                        <w:rFonts w:ascii="Arial" w:eastAsia="Calibri" w:hAnsi="Arial"/>
                        <w:sz w:val="20"/>
                        <w:szCs w:val="20"/>
                      </w:rPr>
                      <w:t>С</w:t>
                    </w:r>
                    <w:r>
                      <w:rPr>
                        <w:rFonts w:ascii="Arial" w:eastAsia="Calibri" w:hAnsi="Arial"/>
                        <w:sz w:val="20"/>
                        <w:szCs w:val="20"/>
                        <w:vertAlign w:val="subscript"/>
                      </w:rPr>
                      <w:t>К</w:t>
                    </w:r>
                  </w:p>
                </w:txbxContent>
              </v:textbox>
            </v:shape>
            <v:shape id="Text Box 18" o:spid="_x0000_s1066" type="#_x0000_t202" style="position:absolute;top:222;width:4883;height:24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8ZyMUA&#10;AADbAAAADwAAAGRycy9kb3ducmV2LnhtbESPQWsCMRSE74L/ITzBi9SsFqSsRmkLLVKsUi3i8bF5&#10;3SxuXpYk6vrvTUHwOMzMN8xs0dpanMmHyrGC0TADQVw4XXGp4Hf38fQCIkRkjbVjUnClAIt5tzPD&#10;XLsL/9B5G0uRIBxyVGBibHIpQ2HIYhi6hjh5f85bjEn6UmqPlwS3tRxn2URarDgtGGzo3VBx3J6s&#10;gqP5Gmyyz++3/WR59evdyR386qBUv9e+TkFEauMjfG8vtYLnEfx/S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fxnIxQAAANsAAAAPAAAAAAAAAAAAAAAAAJgCAABkcnMv&#10;ZG93bnJldi54bWxQSwUGAAAAAAQABAD1AAAAigMAAAAA&#10;" filled="f" stroked="f" strokeweight=".5pt">
              <v:textbox>
                <w:txbxContent>
                  <w:p w:rsidR="00DB066E" w:rsidRPr="009663CB" w:rsidRDefault="00DB066E" w:rsidP="00DB066E">
                    <w:pPr>
                      <w:pStyle w:val="a3"/>
                      <w:spacing w:before="0" w:beforeAutospacing="0" w:after="200" w:line="288" w:lineRule="auto"/>
                    </w:pPr>
                    <w:r>
                      <w:rPr>
                        <w:rFonts w:ascii="Arial" w:eastAsia="Calibri" w:hAnsi="Arial"/>
                        <w:sz w:val="20"/>
                        <w:szCs w:val="20"/>
                      </w:rPr>
                      <w:t>Цена</w:t>
                    </w:r>
                  </w:p>
                </w:txbxContent>
              </v:textbox>
            </v:shape>
            <v:shape id="Text Box 18" o:spid="_x0000_s1067" type="#_x0000_t202" style="position:absolute;left:16529;top:25501;width:10668;height:24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2Hv8UA&#10;AADbAAAADwAAAGRycy9kb3ducmV2LnhtbESPQWsCMRSE7wX/Q3iCF6lZLUhZjdIWFClWqRbx+Ni8&#10;bhY3L0sSdf33piD0OMzMN8x03tpaXMiHyrGC4SADQVw4XXGp4Ge/eH4FESKyxtoxKbhRgPms8zTF&#10;XLsrf9NlF0uRIBxyVGBibHIpQ2HIYhi4hjh5v85bjEn6UmqP1wS3tRxl2VharDgtGGzow1Bx2p2t&#10;gpP57G+z5df7Yby6+c3+7I5+fVSq123fJiAitfE//GivtIKXEf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rYe/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Объем продаж</w:t>
                    </w:r>
                  </w:p>
                </w:txbxContent>
              </v:textbox>
            </v:shape>
            <v:line id="Straight Connector 27" o:spid="_x0000_s1068" style="position:absolute;visibility:visible" from="12200,13442" to="12200,25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Straight Connector 28" o:spid="_x0000_s1069" style="position:absolute;visibility:visible" from="13705,15048" to="13705,25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shape id="Text Box 18" o:spid="_x0000_s1070" type="#_x0000_t202" style="position:absolute;left:10579;top:25253;width:3245;height:24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Qfy8UA&#10;AADbAAAADwAAAGRycy9kb3ducmV2LnhtbESPQWsCMRSE7wX/Q3iFXopmrShlaxQVFCm2pSrF42Pz&#10;ulncvCxJ1PXfN4LQ4zAz3zDjaWtrcSYfKscK+r0MBHHhdMWlgv1u2X0FESKyxtoxKbhSgOmk8zDG&#10;XLsLf9N5G0uRIBxyVGBibHIpQ2HIYui5hjh5v85bjEn6UmqPlwS3tXzJspG0WHFaMNjQwlBx3J6s&#10;gqN5f/7KVh/zn9H66j93J3fwm4NST4/t7A1EpDb+h+/ttVYwGM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RB/LxQAAANsAAAAPAAAAAAAAAAAAAAAAAJgCAABkcnMv&#10;ZG93bnJldi54bWxQSwUGAAAAAAQABAD1AAAAigMAAAAA&#10;" filled="f" stroked="f" strokeweight=".5pt">
              <v:textbox>
                <w:txbxContent>
                  <w:p w:rsidR="00DB066E" w:rsidRPr="00BB0DBA" w:rsidRDefault="00DB066E" w:rsidP="00DB066E">
                    <w:pPr>
                      <w:pStyle w:val="a3"/>
                      <w:spacing w:before="0" w:beforeAutospacing="0" w:after="200" w:line="288" w:lineRule="auto"/>
                    </w:pPr>
                    <w:r>
                      <w:rPr>
                        <w:rFonts w:ascii="Arial" w:eastAsia="Calibri" w:hAnsi="Arial"/>
                        <w:sz w:val="20"/>
                        <w:szCs w:val="20"/>
                      </w:rPr>
                      <w:t>П</w:t>
                    </w:r>
                    <w:r w:rsidRPr="00BB0DBA">
                      <w:rPr>
                        <w:rFonts w:ascii="Arial" w:eastAsia="Calibri" w:hAnsi="Arial"/>
                        <w:sz w:val="20"/>
                        <w:szCs w:val="20"/>
                        <w:vertAlign w:val="subscript"/>
                      </w:rPr>
                      <w:t>З</w:t>
                    </w:r>
                  </w:p>
                </w:txbxContent>
              </v:textbox>
            </v:shape>
            <v:shape id="Text Box 18" o:spid="_x0000_s1071" type="#_x0000_t202" style="position:absolute;left:12389;top:25247;width:3226;height:24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aBvMUA&#10;AADbAAAADwAAAGRycy9kb3ducmV2LnhtbESPQWsCMRSE74L/IbxCL1KztrDI1ihVaJFilWopHh+b&#10;183i5mVJoq7/3hQEj8PMfMNMZp1txIl8qB0rGA0zEMSl0zVXCn52709jECEia2wck4ILBZhN+70J&#10;Ftqd+ZtO21iJBOFQoAITY1tIGUpDFsPQtcTJ+3PeYkzSV1J7PCe4beRzluXSYs1pwWBLC0PlYXu0&#10;Cg7mc7DJPr7mv/ny4te7o9v71V6px4fu7RVEpC7ew7f2Uit4yeH/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loG8xQAAANsAAAAPAAAAAAAAAAAAAAAAAJgCAABkcnMv&#10;ZG93bnJldi54bWxQSwUGAAAAAAQABAD1AAAAigMAAAAA&#10;" filled="f" stroked="f" strokeweight=".5pt">
              <v:textbox>
                <w:txbxContent>
                  <w:p w:rsidR="00DB066E" w:rsidRPr="00BB0DBA" w:rsidRDefault="00DB066E" w:rsidP="00DB066E">
                    <w:pPr>
                      <w:pStyle w:val="a3"/>
                      <w:spacing w:before="0" w:beforeAutospacing="0" w:after="200" w:line="288" w:lineRule="auto"/>
                    </w:pPr>
                    <w:r>
                      <w:rPr>
                        <w:rFonts w:ascii="Arial" w:eastAsia="Calibri" w:hAnsi="Arial"/>
                        <w:sz w:val="20"/>
                        <w:szCs w:val="20"/>
                      </w:rPr>
                      <w:t>П</w:t>
                    </w:r>
                    <w:r w:rsidRPr="00BB0DBA">
                      <w:rPr>
                        <w:rFonts w:ascii="Arial" w:eastAsia="Calibri" w:hAnsi="Arial"/>
                        <w:sz w:val="20"/>
                        <w:szCs w:val="20"/>
                        <w:vertAlign w:val="subscript"/>
                      </w:rPr>
                      <w:t>К</w:t>
                    </w:r>
                  </w:p>
                </w:txbxContent>
              </v:textbox>
            </v:shape>
            <v:rect id="Rectangle 35" o:spid="_x0000_s1072" style="position:absolute;left:29859;top:28785;width:3600;height:18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vRsQA&#10;AADbAAAADwAAAGRycy9kb3ducmV2LnhtbESP0WrCQBRE3wX/YbmCb7qpgobUTahCwUKlGvsBl+w1&#10;CcneDdmtSfv13ULBx2FmzjC7bDStuFPvassKnpYRCOLC6ppLBZ/X10UMwnlkja1lUvBNDrJ0Otlh&#10;ou3AF7rnvhQBwi5BBZX3XSKlKyoy6Ja2Iw7ezfYGfZB9KXWPQ4CbVq6iaCMN1hwWKuzoUFHR5F9G&#10;wennrTnX8XDaD/l67z427w3fYqXms/HlGYSn0T/C/+2jVrDe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Kr0bEAAAA2wAAAA8AAAAAAAAAAAAAAAAAmAIAAGRycy9k&#10;b3ducmV2LnhtbFBLBQYAAAAABAAEAPUAAACJAwAAAAA=&#10;" fillcolor="black">
              <v:fill r:id="rId54" o:title="" type="pattern"/>
              <v:textbox>
                <w:txbxContent>
                  <w:p w:rsidR="00DB066E" w:rsidRDefault="00DB066E" w:rsidP="00DB066E">
                    <w:pPr>
                      <w:pStyle w:val="a3"/>
                      <w:spacing w:before="0" w:beforeAutospacing="0" w:after="200" w:line="288" w:lineRule="auto"/>
                    </w:pPr>
                    <w:r>
                      <w:rPr>
                        <w:rFonts w:ascii="Arial" w:hAnsi="Arial"/>
                        <w:sz w:val="20"/>
                        <w:szCs w:val="20"/>
                      </w:rPr>
                      <w:t> </w:t>
                    </w:r>
                  </w:p>
                </w:txbxContent>
              </v:textbox>
            </v:rect>
            <v:rect id="Rectangle 36" o:spid="_x0000_s1073" style="position:absolute;left:29859;top:31215;width:3600;height:18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xeab8A&#10;AADbAAAADwAAAGRycy9kb3ducmV2LnhtbERPTYvCMBC9L/gfwgje1lRlRaqxiCB6ccUqiLehGdvS&#10;ZlKaaOu/N4eFPT7e9yrpTS1e1LrSsoLJOAJBnFldcq7getl9L0A4j6yxtkwK3uQgWQ++Vhhr2/GZ&#10;XqnPRQhhF6OCwvsmltJlBRl0Y9sQB+5hW4M+wDaXusUuhJtaTqNoLg2WHBoKbGhbUFalT6PgsPlJ&#10;T7tjfprxnX4jWe078jelRsN+swThqff/4j/3QSuYhbHhS/gBcv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HF5pvwAAANsAAAAPAAAAAAAAAAAAAAAAAJgCAABkcnMvZG93bnJl&#10;di54bWxQSwUGAAAAAAQABAD1AAAAhAMAAAAA&#10;" fillcolor="black">
              <v:fill r:id="rId53" o:title="" type="pattern"/>
              <v:textbox>
                <w:txbxContent>
                  <w:p w:rsidR="00DB066E" w:rsidRPr="00B355C2" w:rsidRDefault="00DB066E" w:rsidP="00DB066E"/>
                </w:txbxContent>
              </v:textbox>
            </v:rect>
            <v:rect id="Rectangle 37" o:spid="_x0000_s1074" style="position:absolute;left:29859;top:33764;width:3600;height:18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c88sQA&#10;AADbAAAADwAAAGRycy9kb3ducmV2LnhtbESPQWvCQBSE74X+h+UVequbtiAaXaUUhFwKVUO8PrPP&#10;bDD7NuyuMfbXd4VCj8PMfMMs16PtxEA+tI4VvE4yEMS10y03Csr95mUGIkRkjZ1jUnCjAOvV48MS&#10;c+2uvKVhFxuRIBxyVGBi7HMpQ23IYpi4njh5J+ctxiR9I7XHa4LbTr5l2VRabDktGOzp01B93l2s&#10;ApweysoX1U813L4vpjhmX/NNqdTz0/ixABFpjP/hv3ahFbzP4f4l/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nPPLEAAAA2wAAAA8AAAAAAAAAAAAAAAAAmAIAAGRycy9k&#10;b3ducmV2LnhtbFBLBQYAAAAABAAEAPUAAACJAwAAAAA=&#10;" fillcolor="black">
              <v:fill r:id="rId55" o:title="" type="pattern"/>
              <v:textbox>
                <w:txbxContent>
                  <w:p w:rsidR="00DB066E" w:rsidRDefault="00DB066E" w:rsidP="00DB066E">
                    <w:pPr>
                      <w:pStyle w:val="a3"/>
                      <w:spacing w:before="0" w:beforeAutospacing="0" w:after="200" w:line="288" w:lineRule="auto"/>
                    </w:pPr>
                    <w:r>
                      <w:rPr>
                        <w:rFonts w:ascii="Arial" w:hAnsi="Arial"/>
                        <w:sz w:val="20"/>
                        <w:szCs w:val="20"/>
                      </w:rPr>
                      <w:t> </w:t>
                    </w:r>
                  </w:p>
                </w:txbxContent>
              </v:textbox>
            </v:rect>
            <v:shape id="Text Box 18" o:spid="_x0000_s1075" type="#_x0000_t202" style="position:absolute;left:33490;top:28409;width:20567;height:24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XPLsIA&#10;AADbAAAADwAAAGRycy9kb3ducmV2LnhtbERPTWsCMRC9C/0PYQpeimYVkbIapS0oIlapingcNtPN&#10;4mayJFHXf98cCh4f73s6b20tbuRD5VjBoJ+BIC6crrhUcDwseu8gQkTWWDsmBQ8KMJ+9dKaYa3fn&#10;H7rtYylSCIccFZgYm1zKUBiyGPquIU7cr/MWY4K+lNrjPYXbWg6zbCwtVpwaDDb0Zai47K9WwcWs&#10;33bZ8vvzNF49/PZwdWe/OSvVfW0/JiAitfEp/nevtIJRWp++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Nc8uwgAAANsAAAAPAAAAAAAAAAAAAAAAAJgCAABkcnMvZG93&#10;bnJldi54bWxQSwUGAAAAAAQABAD1AAAAhwMAAAAA&#10;" filled="f" stroked="f" strokeweight=".5pt">
              <v:textbox>
                <w:txbxContent>
                  <w:p w:rsidR="00DB066E" w:rsidRPr="00823E6A" w:rsidRDefault="00DB066E" w:rsidP="00DB066E">
                    <w:pPr>
                      <w:pStyle w:val="a3"/>
                      <w:spacing w:before="0" w:beforeAutospacing="0" w:after="200" w:line="288" w:lineRule="auto"/>
                      <w:rPr>
                        <w:spacing w:val="-10"/>
                        <w:sz w:val="18"/>
                        <w:szCs w:val="18"/>
                      </w:rPr>
                    </w:pPr>
                    <w:r w:rsidRPr="00B164F8">
                      <w:rPr>
                        <w:rFonts w:ascii="Arial" w:eastAsia="Calibri" w:hAnsi="Arial"/>
                        <w:spacing w:val="-10"/>
                        <w:sz w:val="18"/>
                        <w:szCs w:val="18"/>
                      </w:rPr>
                      <w:t>Эффект переноса издержек (+</w:t>
                    </w:r>
                    <w:r w:rsidRPr="00823E6A">
                      <w:rPr>
                        <w:rFonts w:ascii="Arial" w:eastAsia="Calibri" w:hAnsi="Arial"/>
                        <w:spacing w:val="-20"/>
                        <w:sz w:val="18"/>
                        <w:szCs w:val="18"/>
                      </w:rPr>
                      <w:t xml:space="preserve"> </w:t>
                    </w:r>
                    <w:r w:rsidRPr="00823E6A">
                      <w:rPr>
                        <w:rFonts w:ascii="Arial" w:eastAsia="Calibri" w:hAnsi="Arial"/>
                        <w:spacing w:val="-10"/>
                        <w:sz w:val="18"/>
                        <w:szCs w:val="18"/>
                      </w:rPr>
                      <w:t>5 млрд.)</w:t>
                    </w:r>
                  </w:p>
                </w:txbxContent>
              </v:textbox>
            </v:shape>
            <v:shape id="Text Box 18" o:spid="_x0000_s1076" type="#_x0000_t202" style="position:absolute;left:33464;top:30987;width:22815;height:24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lqtcUA&#10;AADbAAAADwAAAGRycy9kb3ducmV2LnhtbESPQWsCMRSE74L/ITzBi9SsUqSsRmkLLVKsUi3i8bF5&#10;3SxuXpYk6vrvTUHwOMzMN8xs0dpanMmHyrGC0TADQVw4XXGp4Hf38fQCIkRkjbVjUnClAIt5tzPD&#10;XLsL/9B5G0uRIBxyVGBibHIpQ2HIYhi6hjh5f85bjEn6UmqPlwS3tRxn2URarDgtGGzo3VBx3J6s&#10;gqP5Gmyyz++3/WR59evdyR386qBUv9e+TkFEauMjfG8vtYLnEfx/S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eWq1xQAAANsAAAAPAAAAAAAAAAAAAAAAAJgCAABkcnMv&#10;ZG93bnJldi54bWxQSwUGAAAAAAQABAD1AAAAigMAAAAA&#10;" filled="f" stroked="f" strokeweight=".5pt">
              <v:textbox>
                <w:txbxContent>
                  <w:p w:rsidR="00DB066E" w:rsidRPr="00823E6A" w:rsidRDefault="00DB066E" w:rsidP="00DB066E">
                    <w:pPr>
                      <w:pStyle w:val="a3"/>
                      <w:spacing w:before="0" w:beforeAutospacing="0" w:after="200" w:line="288" w:lineRule="auto"/>
                      <w:rPr>
                        <w:spacing w:val="-10"/>
                        <w:sz w:val="18"/>
                        <w:szCs w:val="18"/>
                      </w:rPr>
                    </w:pPr>
                    <w:r w:rsidRPr="00823E6A">
                      <w:rPr>
                        <w:rFonts w:ascii="Arial" w:eastAsia="Calibri" w:hAnsi="Arial"/>
                        <w:spacing w:val="-10"/>
                        <w:sz w:val="18"/>
                        <w:szCs w:val="18"/>
                      </w:rPr>
                      <w:t xml:space="preserve">Убытки от упущенных объемов </w:t>
                    </w:r>
                    <w:r>
                      <w:rPr>
                        <w:rFonts w:ascii="Arial" w:eastAsia="Calibri" w:hAnsi="Arial"/>
                        <w:spacing w:val="-10"/>
                        <w:sz w:val="18"/>
                        <w:szCs w:val="18"/>
                      </w:rPr>
                      <w:t xml:space="preserve"> </w:t>
                    </w:r>
                    <w:r w:rsidRPr="00823E6A">
                      <w:rPr>
                        <w:rFonts w:ascii="Arial" w:eastAsia="Calibri" w:hAnsi="Arial"/>
                        <w:spacing w:val="-10"/>
                        <w:sz w:val="18"/>
                        <w:szCs w:val="18"/>
                      </w:rPr>
                      <w:t>(–</w:t>
                    </w:r>
                    <w:r w:rsidRPr="00823E6A">
                      <w:rPr>
                        <w:rFonts w:ascii="Arial" w:eastAsia="Calibri" w:hAnsi="Arial"/>
                        <w:spacing w:val="-20"/>
                        <w:sz w:val="18"/>
                        <w:szCs w:val="18"/>
                      </w:rPr>
                      <w:t xml:space="preserve"> </w:t>
                    </w:r>
                    <w:r w:rsidRPr="00823E6A">
                      <w:rPr>
                        <w:rFonts w:ascii="Arial" w:eastAsia="Calibri" w:hAnsi="Arial"/>
                        <w:spacing w:val="-10"/>
                        <w:sz w:val="18"/>
                        <w:szCs w:val="18"/>
                      </w:rPr>
                      <w:t>11 млрд.)</w:t>
                    </w:r>
                  </w:p>
                </w:txbxContent>
              </v:textbox>
            </v:shape>
            <v:shape id="Text Box 18" o:spid="_x0000_s1077" type="#_x0000_t202" style="position:absolute;left:33534;top:33553;width:20809;height:24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v0wsUA&#10;AADbAAAADwAAAGRycy9kb3ducmV2LnhtbESPQWsCMRSE7wX/Q3iCF6lZpUhZjdIWFClWqRbx+Ni8&#10;bhY3L0sSdf33piD0OMzMN8x03tpaXMiHyrGC4SADQVw4XXGp4Ge/eH4FESKyxtoxKbhRgPms8zTF&#10;XLsrf9NlF0uRIBxyVGBibHIpQ2HIYhi4hjh5v85bjEn6UmqP1wS3tRxl2VharDgtGGzow1Bx2p2t&#10;gpP57G+z5df7Yby6+c3+7I5+fVSq123fJiAitfE//GivtIKXEf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q/TCxQAAANsAAAAPAAAAAAAAAAAAAAAAAJgCAABkcnMv&#10;ZG93bnJldi54bWxQSwUGAAAAAAQABAD1AAAAigMAAAAA&#10;" filled="f" stroked="f" strokeweight=".5pt">
              <v:textbox>
                <w:txbxContent>
                  <w:p w:rsidR="00DB066E" w:rsidRPr="00823E6A" w:rsidRDefault="00DB066E" w:rsidP="00DB066E">
                    <w:pPr>
                      <w:pStyle w:val="a3"/>
                      <w:spacing w:before="0" w:beforeAutospacing="0" w:after="200" w:line="288" w:lineRule="auto"/>
                      <w:rPr>
                        <w:spacing w:val="-10"/>
                        <w:sz w:val="18"/>
                        <w:szCs w:val="18"/>
                      </w:rPr>
                    </w:pPr>
                    <w:r w:rsidRPr="00823E6A">
                      <w:rPr>
                        <w:rFonts w:ascii="Arial" w:eastAsia="Calibri" w:hAnsi="Arial"/>
                        <w:spacing w:val="-10"/>
                        <w:sz w:val="18"/>
                        <w:szCs w:val="18"/>
                      </w:rPr>
                      <w:t>Убытки от завышенных цен (–</w:t>
                    </w:r>
                    <w:r w:rsidRPr="00823E6A">
                      <w:rPr>
                        <w:rFonts w:ascii="Arial" w:eastAsia="Calibri" w:hAnsi="Arial"/>
                        <w:spacing w:val="-20"/>
                        <w:sz w:val="18"/>
                        <w:szCs w:val="18"/>
                      </w:rPr>
                      <w:t xml:space="preserve"> </w:t>
                    </w:r>
                    <w:r w:rsidRPr="00823E6A">
                      <w:rPr>
                        <w:rFonts w:ascii="Arial" w:eastAsia="Calibri" w:hAnsi="Arial"/>
                        <w:spacing w:val="-10"/>
                        <w:sz w:val="18"/>
                        <w:szCs w:val="18"/>
                      </w:rPr>
                      <w:t>10 млрд.)</w:t>
                    </w:r>
                  </w:p>
                </w:txbxContent>
              </v:textbox>
            </v:shape>
            <v:shape id="Text Box 18" o:spid="_x0000_s1078" type="#_x0000_t202" style="position:absolute;left:1511;top:12217;width:3271;height:24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dRWcUA&#10;AADbAAAADwAAAGRycy9kb3ducmV2LnhtbESPQWsCMRSE7wX/Q3iFXopmrSJlaxQVFCm2pSrF42Pz&#10;ulncvCxJ1PXfN4LQ4zAz3zDjaWtrcSYfKscK+r0MBHHhdMWlgv1u2X0FESKyxtoxKbhSgOmk8zDG&#10;XLsLf9N5G0uRIBxyVGBibHIpQ2HIYui5hjh5v85bjEn6UmqPlwS3tXzJspG0WHFaMNjQwlBx3J6s&#10;gqN5f/7KVh/zn9H66j93J3fwm4NST4/t7A1EpDb+h+/ttVYwHMD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1FZxQAAANsAAAAPAAAAAAAAAAAAAAAAAJgCAABkcnMv&#10;ZG93bnJldi54bWxQSwUGAAAAAAQABAD1AAAAigMAAAAA&#10;" filled="f" stroked="f" strokeweight=".5pt">
              <v:textbox>
                <w:txbxContent>
                  <w:p w:rsidR="00DB066E" w:rsidRPr="007E57C8" w:rsidRDefault="00DB066E" w:rsidP="00DB066E">
                    <w:pPr>
                      <w:pStyle w:val="a3"/>
                      <w:spacing w:before="0" w:beforeAutospacing="0" w:after="200" w:line="288" w:lineRule="auto"/>
                    </w:pPr>
                    <w:r>
                      <w:rPr>
                        <w:rFonts w:ascii="Arial" w:eastAsia="Calibri" w:hAnsi="Arial"/>
                        <w:sz w:val="20"/>
                        <w:szCs w:val="20"/>
                      </w:rPr>
                      <w:t>Ц</w:t>
                    </w:r>
                    <w:r>
                      <w:rPr>
                        <w:rFonts w:ascii="Arial" w:eastAsia="Calibri" w:hAnsi="Arial"/>
                        <w:sz w:val="20"/>
                        <w:szCs w:val="20"/>
                        <w:vertAlign w:val="subscript"/>
                      </w:rPr>
                      <w:t>З</w:t>
                    </w:r>
                  </w:p>
                </w:txbxContent>
              </v:textbox>
            </v:shape>
            <v:shape id="Text Box 18" o:spid="_x0000_s1079" type="#_x0000_t202" style="position:absolute;left:1511;top:13925;width:3251;height:24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7JLcUA&#10;AADbAAAADwAAAGRycy9kb3ducmV2LnhtbESPQWsCMRSE74L/ITzBi9RsRaSsRmkLFZFWqRbx+Ni8&#10;bhY3L0sSdf33TUHwOMzMN8xs0dpaXMiHyrGC52EGgrhwuuJSwc/+4+kFRIjIGmvHpOBGARbzbmeG&#10;uXZX/qbLLpYiQTjkqMDE2ORShsKQxTB0DXHyfp23GJP0pdQerwluaznKsom0WHFaMNjQu6HitDtb&#10;BSezHmyz5dfbYbK6+c3+7I7+86hUv9e+TkFEauMjfG+vtILxGP6/p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DsktxQAAANsAAAAPAAAAAAAAAAAAAAAAAJgCAABkcnMv&#10;ZG93bnJldi54bWxQSwUGAAAAAAQABAD1AAAAigMAAAAA&#10;" filled="f" stroked="f" strokeweight=".5pt">
              <v:textbox>
                <w:txbxContent>
                  <w:p w:rsidR="00DB066E" w:rsidRPr="007E57C8" w:rsidRDefault="00DB066E" w:rsidP="00DB066E">
                    <w:pPr>
                      <w:pStyle w:val="a3"/>
                      <w:spacing w:before="0" w:beforeAutospacing="0" w:after="200" w:line="288" w:lineRule="auto"/>
                      <w:rPr>
                        <w:rFonts w:ascii="Arial" w:eastAsia="Calibri" w:hAnsi="Arial"/>
                        <w:sz w:val="20"/>
                        <w:szCs w:val="20"/>
                      </w:rPr>
                    </w:pPr>
                    <w:r>
                      <w:rPr>
                        <w:rFonts w:ascii="Arial" w:eastAsia="Calibri" w:hAnsi="Arial"/>
                        <w:sz w:val="20"/>
                        <w:szCs w:val="20"/>
                      </w:rPr>
                      <w:t>Ц</w:t>
                    </w:r>
                    <w:r>
                      <w:rPr>
                        <w:rFonts w:ascii="Arial" w:eastAsia="Calibri" w:hAnsi="Arial"/>
                        <w:sz w:val="20"/>
                        <w:szCs w:val="20"/>
                        <w:vertAlign w:val="subscript"/>
                      </w:rPr>
                      <w:t>К</w:t>
                    </w:r>
                  </w:p>
                  <w:p w:rsidR="00DB066E" w:rsidRDefault="00DB066E" w:rsidP="00DB066E">
                    <w:pPr>
                      <w:pStyle w:val="a3"/>
                      <w:spacing w:before="0" w:beforeAutospacing="0" w:after="200" w:line="288" w:lineRule="auto"/>
                    </w:pPr>
                  </w:p>
                </w:txbxContent>
              </v:textbox>
            </v:shape>
            <v:shape id="Straight Arrow Connector 45" o:spid="_x0000_s1080" type="#_x0000_t32" style="position:absolute;left:31029;top:2378;width:0;height:2406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I668YAAADbAAAADwAAAGRycy9kb3ducmV2LnhtbESPQWvCQBSE74L/YXmCF2k2tbVImlWk&#10;IEgpiNpLb4/sSzY0+zZm1xj767uFgsdhZr5h8vVgG9FT52vHCh6TFARx4XTNlYLP0/ZhCcIHZI2N&#10;Y1JwIw/r1XiUY6bdlQ/UH0MlIoR9hgpMCG0mpS8MWfSJa4mjV7rOYoiyq6Tu8BrhtpHzNH2RFmuO&#10;CwZbejNUfB8vVsHs8FVXZXn5uPmnn/0yfd+fTdErNZ0Mm1cQgYZwD/+3d1rB8wL+vsQf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sCOuvGAAAA2wAAAA8AAAAAAAAA&#10;AAAAAAAAoQIAAGRycy9kb3ducmV2LnhtbFBLBQYAAAAABAAEAPkAAACUAwAAAAA=&#10;">
              <v:stroke endarrow="open"/>
            </v:shape>
            <v:shape id="Straight Arrow Connector 46" o:spid="_x0000_s1081" type="#_x0000_t32" style="position:absolute;left:29835;top:25244;width:2329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n/+8QAAADbAAAADwAAAGRycy9kb3ducmV2LnhtbESPQWvCQBSE70L/w/IKvZS6Ma22pG5E&#10;hFrBk1ro9ZF9yYZk34bsGuO/7xYEj8PMfMMsV6NtxUC9rx0rmE0TEMSF0zVXCn5OXy8fIHxA1tg6&#10;JgVX8rDKHyZLzLS78IGGY6hEhLDPUIEJocuk9IUhi37qOuLola63GKLsK6l7vES4bWWaJAtpsea4&#10;YLCjjaGiOZ6tgjLVNHtufs33+xzLzf41HYZ2q9TT47j+BBFoDPfwrb3TCt4W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ef/7xAAAANsAAAAPAAAAAAAAAAAA&#10;AAAAAKECAABkcnMvZG93bnJldi54bWxQSwUGAAAAAAQABAD5AAAAkgMAAAAA&#10;">
              <v:stroke endarrow="open"/>
            </v:shape>
            <v:line id="Straight Connector 47" o:spid="_x0000_s1082" style="position:absolute;visibility:visible" from="31029,5115" to="49908,25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Straight Connector 48" o:spid="_x0000_s1083" style="position:absolute;visibility:visible" from="31029,22291" to="47152,2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Straight Connector 49" o:spid="_x0000_s1084" style="position:absolute;visibility:visible" from="31029,19243" to="44294,19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Straight Connector 50" o:spid="_x0000_s1085" style="position:absolute;visibility:visible" from="31029,13408" to="38795,13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Straight Connector 51" o:spid="_x0000_s1086" style="position:absolute;visibility:visible" from="31029,15014" to="40300,15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shape id="Text Box 18" o:spid="_x0000_s1087" type="#_x0000_t202" style="position:absolute;left:26467;top:222;width:4883;height:24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JiH8UA&#10;AADbAAAADwAAAGRycy9kb3ducmV2LnhtbESPQWsCMRSE7wX/Q3iCF6lZhUpZjdIWFClWqRbx+Ni8&#10;bhY3L0sSdf33piD0OMzMN8x03tpaXMiHyrGC4SADQVw4XXGp4Ge/eH4FESKyxtoxKbhRgPms8zTF&#10;XLsrf9NlF0uRIBxyVGBibHIpQ2HIYhi4hjh5v85bjEn6UmqP1wS3tRxl2VharDgtGGzow1Bx2p2t&#10;gpP57G+z5df7Yby6+c3+7I5+fVSq123fJiAitfE//GivtIKXEf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mIf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Цена</w:t>
                    </w:r>
                  </w:p>
                </w:txbxContent>
              </v:textbox>
            </v:shape>
            <v:shape id="Text Box 18" o:spid="_x0000_s1088" type="#_x0000_t202" style="position:absolute;left:43199;top:25456;width:10668;height:24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7HhMUA&#10;AADbAAAADwAAAGRycy9kb3ducmV2LnhtbESPQWsCMRSE7wX/Q3iFXopmrShlaxQVFCm2pSrF42Pz&#10;ulncvCxJ1PXfN4LQ4zAz3zDjaWtrcSYfKscK+r0MBHHhdMWlgv1u2X0FESKyxtoxKbhSgOmk8zDG&#10;XLsLf9N5G0uRIBxyVGBibHIpQ2HIYui5hjh5v85bjEn6UmqPlwS3tXzJspG0WHFaMNjQwlBx3J6s&#10;gqN5f/7KVh/zn9H66j93J3fwm4NST4/t7A1EpDb+h+/ttVYwHMD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PseE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Объем продаж</w:t>
                    </w:r>
                  </w:p>
                </w:txbxContent>
              </v:textbox>
            </v:shape>
            <v:line id="Straight Connector 56" o:spid="_x0000_s1089" style="position:absolute;visibility:visible" from="38801,13408" to="38801,2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Straight Connector 57" o:spid="_x0000_s1090" style="position:absolute;visibility:visible" from="40306,15014" to="40306,2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rect id="Rectangle 4" o:spid="_x0000_s1091" style="position:absolute;left:4426;top:13442;width:7773;height:58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rXTsQA&#10;AADbAAAADwAAAGRycy9kb3ducmV2LnhtbESPT4vCMBTE74LfIbyFvYimLlakaxQRhL0I/kW8PZq3&#10;bdfmpTbZWr+9EQSPw8z8hpnOW1OKhmpXWFYwHEQgiFOrC84UHPar/gSE88gaS8uk4E4O5rNuZ4qJ&#10;tjfeUrPzmQgQdgkqyL2vEildmpNBN7AVcfB+bW3QB1lnUtd4C3BTyq8oGkuDBYeFHCta5pRedv9G&#10;wWYkL6Osd4yj9fB0jf9WcSGbs1KfH+3iG4Sn1r/Dr/aPVhCP4fk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q107EAAAA2wAAAA8AAAAAAAAAAAAAAAAAmAIAAGRycy9k&#10;b3ducmV2LnhtbFBLBQYAAAAABAAEAPUAAACJAwAAAAA=&#10;" filled="f" strokeweight="2pt"/>
            <v:rect id="Rectangle 63" o:spid="_x0000_s1092" style="position:absolute;left:3234;top:28787;width:3594;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Zy1cYA&#10;AADbAAAADwAAAGRycy9kb3ducmV2LnhtbESPQWvCQBSE74L/YXlCL2I2FlMluoZSEHopqG0pvT2y&#10;zyQm+zbNbmP8992C4HGYmW+YTTaYRvTUucqygnkUgyDOra64UPDxvputQDiPrLGxTAqu5CDbjkcb&#10;TLW98IH6oy9EgLBLUUHpfZtK6fKSDLrItsTBO9nOoA+yK6Tu8BLgppGPcfwkDVYcFkps6aWkvD7+&#10;GgX7hawXxfQzid/mXz/JeZdUsv9W6mEyPK9BeBr8PXxrv2oFyRL+v4Qf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Zy1cYAAADbAAAADwAAAAAAAAAAAAAAAACYAgAAZHJz&#10;L2Rvd25yZXYueG1sUEsFBgAAAAAEAAQA9QAAAIsDAAAAAA==&#10;" filled="f" strokeweight="2pt">
              <v:textbox>
                <w:txbxContent>
                  <w:p w:rsidR="00DB066E" w:rsidRDefault="00DB066E" w:rsidP="00DB066E">
                    <w:pPr>
                      <w:pStyle w:val="a3"/>
                      <w:spacing w:before="0" w:beforeAutospacing="0" w:after="200" w:line="288" w:lineRule="auto"/>
                    </w:pPr>
                    <w:r>
                      <w:rPr>
                        <w:rFonts w:ascii="Arial" w:hAnsi="Arial"/>
                        <w:sz w:val="20"/>
                        <w:szCs w:val="20"/>
                      </w:rPr>
                      <w:t> </w:t>
                    </w:r>
                  </w:p>
                </w:txbxContent>
              </v:textbox>
            </v:rect>
            <v:rect id="Rectangle 64" o:spid="_x0000_s1093" style="position:absolute;left:3234;top:32640;width:3594;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O7ycEA&#10;AADbAAAADwAAAGRycy9kb3ducmV2LnhtbERPTWuDQBC9B/oflin0Fte2WIJ1lVAIySWRmkLpbXCn&#10;Krqz4m6i+ffZQ6HHx/vOisUM4kqT6ywreI5iEMS11R03Cr7Ou/UGhPPIGgfLpOBGDor8YZVhqu3M&#10;n3StfCNCCLsUFbTej6mUrm7JoIvsSBy4XzsZ9AFOjdQTziHcDPIljt+kwY5DQ4sjfbRU99XFKDhs&#10;k6rcHZvylX/oFMt+P5P/Vurpcdm+g/C0+H/xn/ugFSRhbPgSfoDM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Du8nBAAAA2wAAAA8AAAAAAAAAAAAAAAAAmAIAAGRycy9kb3du&#10;cmV2LnhtbFBLBQYAAAAABAAEAPUAAACGAwAAAAA=&#10;" fillcolor="black">
              <v:fill r:id="rId53" o:title="" type="pattern"/>
              <v:textbox>
                <w:txbxContent>
                  <w:p w:rsidR="00DB066E" w:rsidRDefault="00DB066E" w:rsidP="00DB066E">
                    <w:pPr>
                      <w:pStyle w:val="a3"/>
                      <w:spacing w:before="0" w:beforeAutospacing="0" w:after="200" w:line="288" w:lineRule="auto"/>
                    </w:pPr>
                    <w:r>
                      <w:rPr>
                        <w:rFonts w:ascii="Arial" w:hAnsi="Arial"/>
                        <w:sz w:val="20"/>
                        <w:szCs w:val="20"/>
                      </w:rPr>
                      <w:t> </w:t>
                    </w:r>
                  </w:p>
                </w:txbxContent>
              </v:textbox>
            </v:rect>
            <v:shape id="Text Box 18" o:spid="_x0000_s1094" type="#_x0000_t202" style="position:absolute;left:6883;top:28193;width:15875;height:443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bwbsUA&#10;AADbAAAADwAAAGRycy9kb3ducmV2LnhtbESPQWsCMRSE7wX/Q3iFXkSzFpR2axQVFCm2pSrF42Pz&#10;ulncvCxJ1PXfN4LQ4zAz3zDjaWtrcSYfKscKBv0MBHHhdMWlgv1u2XsBESKyxtoxKbhSgOmk8zDG&#10;XLsLf9N5G0uRIBxyVGBibHIpQ2HIYui7hjh5v85bjEn6UmqPlwS3tXzOspG0WHFaMNjQwlBx3J6s&#10;gqN5735lq4/5z2h99Z+7kzv4zUGpp8d29gYiUhv/w/f2WisYvs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1vBuxQAAANsAAAAPAAAAAAAAAAAAAAAAAJgCAABkcnMv&#10;ZG93bnJldi54bWxQSwUGAAAAAAQABAD1AAAAigMAAAAA&#10;" filled="f" stroked="f" strokeweight=".5pt">
              <v:textbox>
                <w:txbxContent>
                  <w:p w:rsidR="00DB066E" w:rsidRPr="00823E6A" w:rsidRDefault="00DB066E" w:rsidP="00DB066E">
                    <w:pPr>
                      <w:pStyle w:val="a3"/>
                      <w:spacing w:before="0" w:beforeAutospacing="0" w:after="0" w:line="288" w:lineRule="auto"/>
                      <w:rPr>
                        <w:rFonts w:ascii="Arial" w:eastAsia="Calibri" w:hAnsi="Arial"/>
                        <w:sz w:val="18"/>
                        <w:szCs w:val="18"/>
                      </w:rPr>
                    </w:pPr>
                    <w:r w:rsidRPr="00823E6A">
                      <w:rPr>
                        <w:rFonts w:ascii="Arial" w:eastAsia="Calibri" w:hAnsi="Arial"/>
                        <w:sz w:val="18"/>
                        <w:szCs w:val="18"/>
                      </w:rPr>
                      <w:t>Прибыль при завышенной</w:t>
                    </w:r>
                  </w:p>
                  <w:p w:rsidR="00DB066E" w:rsidRPr="00823E6A" w:rsidRDefault="00DB066E" w:rsidP="00DB066E">
                    <w:pPr>
                      <w:pStyle w:val="a3"/>
                      <w:spacing w:before="0" w:beforeAutospacing="0" w:after="0" w:line="288" w:lineRule="auto"/>
                      <w:rPr>
                        <w:sz w:val="18"/>
                        <w:szCs w:val="18"/>
                      </w:rPr>
                    </w:pPr>
                    <w:r w:rsidRPr="00823E6A">
                      <w:rPr>
                        <w:rFonts w:ascii="Arial" w:eastAsia="Calibri" w:hAnsi="Arial"/>
                        <w:sz w:val="18"/>
                        <w:szCs w:val="18"/>
                      </w:rPr>
                      <w:t>себестоимости (50 млрд.)</w:t>
                    </w:r>
                  </w:p>
                </w:txbxContent>
              </v:textbox>
            </v:shape>
            <v:shape id="Text Box 18" o:spid="_x0000_s1095" type="#_x0000_t202" style="position:absolute;left:6890;top:32314;width:16364;height:423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TTsIA&#10;AADbAAAADwAAAGRycy9kb3ducmV2LnhtbERPy2oCMRTdC/5DuEI3RTPtYiijUbTQIqVWfCAuL5Pr&#10;ZHByMyRRx783i4LLw3lPZp1txJV8qB0reBtlIIhLp2uuFOx3X8MPECEia2wck4I7BZhN+70JFtrd&#10;eEPXbaxECuFQoAITY1tIGUpDFsPItcSJOzlvMSboK6k93lK4beR7luXSYs2pwWBLn4bK8/ZiFZzN&#10;z+s6+14tDvny7v92F3f0v0elXgbdfAwiUhef4n/3UivI0/r0Jf0A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gJNOwgAAANsAAAAPAAAAAAAAAAAAAAAAAJgCAABkcnMvZG93&#10;bnJldi54bWxQSwUGAAAAAAQABAD1AAAAhwMAAAAA&#10;" filled="f" stroked="f" strokeweight=".5pt">
              <v:textbox>
                <w:txbxContent>
                  <w:p w:rsidR="00DB066E" w:rsidRPr="00823E6A" w:rsidRDefault="00DB066E" w:rsidP="00DB066E">
                    <w:pPr>
                      <w:pStyle w:val="a3"/>
                      <w:spacing w:before="0" w:beforeAutospacing="0" w:after="0" w:line="288" w:lineRule="auto"/>
                      <w:rPr>
                        <w:rFonts w:ascii="Arial" w:eastAsia="Calibri" w:hAnsi="Arial"/>
                        <w:sz w:val="18"/>
                        <w:szCs w:val="18"/>
                      </w:rPr>
                    </w:pPr>
                    <w:r w:rsidRPr="00823E6A">
                      <w:rPr>
                        <w:rFonts w:ascii="Arial" w:eastAsia="Calibri" w:hAnsi="Arial"/>
                        <w:sz w:val="18"/>
                        <w:szCs w:val="18"/>
                      </w:rPr>
                      <w:t>Прибыль при конкурентной</w:t>
                    </w:r>
                  </w:p>
                  <w:p w:rsidR="00DB066E" w:rsidRPr="00823E6A" w:rsidRDefault="00DB066E" w:rsidP="00DB066E">
                    <w:pPr>
                      <w:pStyle w:val="a3"/>
                      <w:spacing w:before="0" w:beforeAutospacing="0" w:after="0" w:line="288" w:lineRule="auto"/>
                      <w:rPr>
                        <w:sz w:val="18"/>
                        <w:szCs w:val="18"/>
                      </w:rPr>
                    </w:pPr>
                    <w:r w:rsidRPr="00823E6A">
                      <w:rPr>
                        <w:rFonts w:ascii="Arial" w:eastAsia="Calibri" w:hAnsi="Arial"/>
                        <w:sz w:val="18"/>
                        <w:szCs w:val="18"/>
                      </w:rPr>
                      <w:t>себестоимости (66 млрд.)</w:t>
                    </w:r>
                  </w:p>
                </w:txbxContent>
              </v:textbox>
            </v:shape>
            <v:shape id="Text Box 18" o:spid="_x0000_s1096" type="#_x0000_t202" style="position:absolute;left:28327;top:18014;width:3245;height:26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w21cUA&#10;AADbAAAADwAAAGRycy9kb3ducmV2LnhtbESPT2sCMRTE70K/Q3gFL6Vm9bDI1ihtoSLiH6qleHxs&#10;XjeLm5clibp+eyMUPA4z8xtmMutsI87kQ+1YwXCQgSAuna65UvCz/3odgwgRWWPjmBRcKcBs+tSb&#10;YKHdhb/pvIuVSBAOBSowMbaFlKE0ZDEMXEucvD/nLcYkfSW1x0uC20aOsiyXFmtOCwZb+jRUHncn&#10;q+Boli/bbL7++M0XV7/Zn9zBrw5K9Z+79zcQkbr4CP+3F1pBPoT7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zDbV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С</w:t>
                    </w:r>
                    <w:r>
                      <w:rPr>
                        <w:rFonts w:ascii="Arial" w:eastAsia="Calibri" w:hAnsi="Arial"/>
                        <w:position w:val="-5"/>
                        <w:sz w:val="20"/>
                        <w:szCs w:val="20"/>
                        <w:vertAlign w:val="subscript"/>
                      </w:rPr>
                      <w:t>З</w:t>
                    </w:r>
                  </w:p>
                </w:txbxContent>
              </v:textbox>
            </v:shape>
            <v:shape id="Text Box 18" o:spid="_x0000_s1097" type="#_x0000_t202" style="position:absolute;left:28353;top:21031;width:3232;height:27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6oosUA&#10;AADbAAAADwAAAGRycy9kb3ducmV2LnhtbESPQWsCMRSE74X+h/AKXkrN6mEpq1G0UBHRilqKx8fm&#10;dbO4eVmSqOu/N0Khx2FmvmHG08424kI+1I4VDPoZCOLS6ZorBd+Hz7d3ECEia2wck4IbBZhOnp/G&#10;WGh35R1d9rESCcKhQAUmxraQMpSGLIa+a4mT9+u8xZikr6T2eE1w28hhluXSYs1pwWBLH4bK0/5s&#10;FZzM6nWbLTbzn3x581+Hszv69VGp3ks3G4GI1MX/8F97qRXkQ3h8ST9AT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Hqii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jc w:val="right"/>
                    </w:pPr>
                    <w:r>
                      <w:rPr>
                        <w:rFonts w:ascii="Arial" w:eastAsia="Calibri" w:hAnsi="Arial"/>
                        <w:sz w:val="20"/>
                        <w:szCs w:val="20"/>
                      </w:rPr>
                      <w:t>С</w:t>
                    </w:r>
                    <w:r>
                      <w:rPr>
                        <w:rFonts w:ascii="Arial" w:eastAsia="Calibri" w:hAnsi="Arial"/>
                        <w:position w:val="-5"/>
                        <w:sz w:val="20"/>
                        <w:szCs w:val="20"/>
                        <w:vertAlign w:val="subscript"/>
                      </w:rPr>
                      <w:t>К</w:t>
                    </w:r>
                  </w:p>
                </w:txbxContent>
              </v:textbox>
            </v:shape>
            <v:shape id="Text Box 18" o:spid="_x0000_s1098" type="#_x0000_t202" style="position:absolute;left:37223;top:25247;width:3245;height:29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INOcUA&#10;AADbAAAADwAAAGRycy9kb3ducmV2LnhtbESPQWsCMRSE74L/IbxCL1KztrDI1ihVaJFilWopHh+b&#10;183i5mVJoq7/3hQEj8PMfMNMZp1txIl8qB0rGA0zEMSl0zVXCn52709jECEia2wck4ILBZhN+70J&#10;Ftqd+ZtO21iJBOFQoAITY1tIGUpDFsPQtcTJ+3PeYkzSV1J7PCe4beRzluXSYs1pwWBLC0PlYXu0&#10;Cg7mc7DJPr7mv/ny4te7o9v71V6px4fu7RVEpC7ew7f2UivIX+D/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Ug05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П</w:t>
                    </w:r>
                    <w:r>
                      <w:rPr>
                        <w:rFonts w:ascii="Arial" w:eastAsia="Calibri" w:hAnsi="Arial"/>
                        <w:position w:val="-5"/>
                        <w:sz w:val="20"/>
                        <w:szCs w:val="20"/>
                        <w:vertAlign w:val="subscript"/>
                      </w:rPr>
                      <w:t>З</w:t>
                    </w:r>
                  </w:p>
                </w:txbxContent>
              </v:textbox>
            </v:shape>
            <v:shape id="Text Box 18" o:spid="_x0000_s1099" type="#_x0000_t202" style="position:absolute;left:39046;top:25253;width:3226;height:264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VTcUA&#10;AADbAAAADwAAAGRycy9kb3ducmV2LnhtbESPQWsCMRSE74L/IbxCL1KzlrLI1ihVaJFilWopHh+b&#10;183i5mVJoq7/3hQEj8PMfMNMZp1txIl8qB0rGA0zEMSl0zVXCn52709jECEia2wck4ILBZhN+70J&#10;Ftqd+ZtO21iJBOFQoAITY1tIGUpDFsPQtcTJ+3PeYkzSV1J7PCe4beRzluXSYs1pwWBLC0PlYXu0&#10;Cg7mc7DJPr7mv/ny4te7o9v71V6px4fu7RVEpC7ew7f2UivIX+D/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u5VN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П</w:t>
                    </w:r>
                    <w:r>
                      <w:rPr>
                        <w:rFonts w:ascii="Arial" w:eastAsia="Calibri" w:hAnsi="Arial"/>
                        <w:position w:val="-5"/>
                        <w:sz w:val="20"/>
                        <w:szCs w:val="20"/>
                        <w:vertAlign w:val="subscript"/>
                      </w:rPr>
                      <w:t>К</w:t>
                    </w:r>
                  </w:p>
                </w:txbxContent>
              </v:textbox>
            </v:shape>
            <v:shape id="Text Box 18" o:spid="_x0000_s1100" type="#_x0000_t202" style="position:absolute;left:28162;top:12223;width:3270;height:278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cw1sUA&#10;AADbAAAADwAAAGRycy9kb3ducmV2LnhtbESPQWsCMRSE74L/IbxCL1KzFrrI1ihVaJFilWopHh+b&#10;183i5mVJoq7/3hQEj8PMfMNMZp1txIl8qB0rGA0zEMSl0zVXCn52709jECEia2wck4ILBZhN+70J&#10;Ftqd+ZtO21iJBOFQoAITY1tIGUpDFsPQtcTJ+3PeYkzSV1J7PCe4beRzluXSYs1pwWBLC0PlYXu0&#10;Cg7mc7DJPr7mv/ny4te7o9v71V6px4fu7RVEpC7ew7f2UivIX+D/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9zDW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Ц</w:t>
                    </w:r>
                    <w:r>
                      <w:rPr>
                        <w:rFonts w:ascii="Arial" w:eastAsia="Calibri" w:hAnsi="Arial"/>
                        <w:position w:val="-5"/>
                        <w:sz w:val="20"/>
                        <w:szCs w:val="20"/>
                        <w:vertAlign w:val="subscript"/>
                      </w:rPr>
                      <w:t>З</w:t>
                    </w:r>
                  </w:p>
                </w:txbxContent>
              </v:textbox>
            </v:shape>
            <v:shape id="Text Box 18" o:spid="_x0000_s1101" type="#_x0000_t202" style="position:absolute;left:28175;top:13925;width:3251;height:32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WuocUA&#10;AADbAAAADwAAAGRycy9kb3ducmV2LnhtbESPT2sCMRTE7wW/Q3iFXkrN6mEpW6O0giJFK/5BPD42&#10;r5vFzcuSRF2/vREKPQ4z8xtmNOlsIy7kQ+1YwaCfgSAuna65UrDfzd7eQYSIrLFxTApuFGAy7j2N&#10;sNDuyhu6bGMlEoRDgQpMjG0hZSgNWQx91xIn79d5izFJX0nt8ZrgtpHDLMulxZrTgsGWpobK0/Zs&#10;FZzM9+s6m6++Dvni5n92Z3f0y6NSL8/d5weISF38D/+1F1pBnsPjS/oBcn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a6h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Ц</w:t>
                    </w:r>
                    <w:r>
                      <w:rPr>
                        <w:rFonts w:ascii="Arial" w:eastAsia="Calibri" w:hAnsi="Arial"/>
                        <w:position w:val="-5"/>
                        <w:sz w:val="20"/>
                        <w:szCs w:val="20"/>
                        <w:vertAlign w:val="subscript"/>
                      </w:rPr>
                      <w:t>К</w:t>
                    </w:r>
                  </w:p>
                  <w:p w:rsidR="00DB066E" w:rsidRDefault="00DB066E" w:rsidP="00DB066E">
                    <w:pPr>
                      <w:pStyle w:val="a3"/>
                      <w:spacing w:before="0" w:beforeAutospacing="0" w:after="200" w:line="288" w:lineRule="auto"/>
                    </w:pPr>
                    <w:r>
                      <w:t> </w:t>
                    </w:r>
                  </w:p>
                </w:txbxContent>
              </v:textbox>
            </v:shape>
            <w10:wrap type="none"/>
            <w10:anchorlock/>
          </v:group>
        </w:pic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Общая сумма убытка может быть разложена на три составляющих экономических эффекта следующим образом.</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ab/>
        <w:t xml:space="preserve">1) Убытки в результате завышенных цен составили 10 млрд. руб., так как АО «Компания 1» было вынуждено заплатить за каждую партию продукта Б, необходимого для производства 1 тонны продукта А, на 2 тыс. руб. больше, чем оно заплатило бы при отсутствии нарушения.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ab/>
        <w:t>2) Из этих 10 млрд. руб. АО «Компания 1» реально потеряло только 5 млрд. руб., так как оставшиеся 5 млрд. оно компенсировало за счет увеличения собственных цен (эффект переноса издержек).</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ab/>
        <w:t xml:space="preserve">3) Наконец, увеличение собственных цен привело к сокращению объема продаж в размере 1 млн. тонн. АО «Компания 1» могло бы произвести данные 1 млн. тонн при себестоимости в 48 тыс. руб. и продать их по цене в 59 тыс. руб./тонну при отсутствии нарушения, что составляет убытки от упущенных объемов в размере 11 млрд. руб.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Итого, убытки составили 16 млрд. руб.: 10 млрд. руб. от завышенных цен, но за вычетом 5 млрд. руб. (эффект переноса издержек), плюс 11 млрд. руб. от упущенных объемов.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bookmarkStart w:id="60" w:name="_Ref404954144"/>
      <w:r w:rsidRPr="004436FA">
        <w:rPr>
          <w:rFonts w:ascii="Times New Roman" w:hAnsi="Times New Roman" w:cs="Times New Roman"/>
          <w:sz w:val="28"/>
          <w:szCs w:val="28"/>
        </w:rPr>
        <w:t xml:space="preserve">Если предположить, что ценовой картельный сговор имел место в течение нескольких лет, то АО «Компания 1» может предъявить иск к локальным производителям продукта Б о взыскании упущенной выгоды за весь рассматриваемый период времени. В таких случаях необходимо соответствующим образом учитывать упущенные (нереализованные) производственные и коммерческие возможности компании.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Нужно отметить, что незаконные действия производителей продукта Б привели не только к перераспределению прибыли от АО «Компания 1» в их </w:t>
      </w:r>
      <w:r w:rsidRPr="004436FA">
        <w:rPr>
          <w:rFonts w:ascii="Times New Roman" w:hAnsi="Times New Roman" w:cs="Times New Roman"/>
          <w:sz w:val="28"/>
          <w:szCs w:val="28"/>
        </w:rPr>
        <w:lastRenderedPageBreak/>
        <w:t xml:space="preserve">пользу, но и к безвозвратной потере части прибыли АО «Компания 1» из-за сокращения объемов его производства. Соответственно, в общем случае сумма иска будет превышать незаконную прибыль, полученную участниками картеля. Однако в этом нет никакого противоречия: с экономической точки зрения </w:t>
      </w:r>
      <w:proofErr w:type="spellStart"/>
      <w:r w:rsidRPr="004436FA">
        <w:rPr>
          <w:rFonts w:ascii="Times New Roman" w:hAnsi="Times New Roman" w:cs="Times New Roman"/>
          <w:sz w:val="28"/>
          <w:szCs w:val="28"/>
        </w:rPr>
        <w:t>антиконкурентное</w:t>
      </w:r>
      <w:proofErr w:type="spellEnd"/>
      <w:r w:rsidRPr="004436FA">
        <w:rPr>
          <w:rFonts w:ascii="Times New Roman" w:hAnsi="Times New Roman" w:cs="Times New Roman"/>
          <w:sz w:val="28"/>
          <w:szCs w:val="28"/>
        </w:rPr>
        <w:t xml:space="preserve"> повышение цен наносит обществу б</w:t>
      </w:r>
      <w:r w:rsidRPr="004436FA">
        <w:rPr>
          <w:rFonts w:ascii="Times New Roman" w:hAnsi="Times New Roman" w:cs="Times New Roman"/>
          <w:i/>
          <w:sz w:val="28"/>
          <w:szCs w:val="28"/>
        </w:rPr>
        <w:t>о</w:t>
      </w:r>
      <w:r w:rsidRPr="004436FA">
        <w:rPr>
          <w:rFonts w:ascii="Times New Roman" w:hAnsi="Times New Roman" w:cs="Times New Roman"/>
          <w:sz w:val="28"/>
          <w:szCs w:val="28"/>
        </w:rPr>
        <w:t xml:space="preserve">льший вред, чем </w:t>
      </w:r>
      <w:proofErr w:type="spellStart"/>
      <w:proofErr w:type="gramStart"/>
      <w:r w:rsidRPr="004436FA">
        <w:rPr>
          <w:rFonts w:ascii="Times New Roman" w:hAnsi="Times New Roman" w:cs="Times New Roman"/>
          <w:sz w:val="28"/>
          <w:szCs w:val="28"/>
        </w:rPr>
        <w:t>сверх-прибыль</w:t>
      </w:r>
      <w:proofErr w:type="spellEnd"/>
      <w:proofErr w:type="gramEnd"/>
      <w:r w:rsidRPr="004436FA">
        <w:rPr>
          <w:rFonts w:ascii="Times New Roman" w:hAnsi="Times New Roman" w:cs="Times New Roman"/>
          <w:sz w:val="28"/>
          <w:szCs w:val="28"/>
        </w:rPr>
        <w:t xml:space="preserve"> нарушителей из-за так называемых безвозвратных экономических потерь.</w:t>
      </w:r>
      <w:r w:rsidRPr="004436FA">
        <w:rPr>
          <w:rStyle w:val="ab"/>
          <w:rFonts w:ascii="Times New Roman" w:hAnsi="Times New Roman" w:cs="Times New Roman"/>
          <w:sz w:val="28"/>
          <w:szCs w:val="28"/>
        </w:rPr>
        <w:footnoteReference w:id="32"/>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Действительно, производители продукта Б могли заработать не более 10 млрд. руб. в год за счет своего ценового сговора: они продавали 5 млн. тонн с наценкой в 2 тыс. руб. за тонну, плюс они, вероятно, потеряли какую-то прибыль за счет сокращения спроса на их продукцию. В то же время, убытки АО «Компания 1» составляют 16 млрд. руб. Несмотря на то, что убытки АО «Компания 1» существенно превышает незаконную прибыль производителей продукта Б, последние должны полностью возместить данный убыток.</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Рассмотрим также пример расчета убытков (финансовых потерь) для ситуации с установлением монопольно высокой цены:</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АО «Компания 1» занимается производством товара А. При этом в процессе производства данного товара АО «Компания 1» вынуждена пользоваться услугами АО «Перевозчик», занимающего доминирующее положение на локальном рынке услуг грузовых перевозок.</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Изначально себестоимость товара А производства АО «Компания 1» составляла С</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xml:space="preserve"> = 15 тыс. руб./ед. а отпускная цена – Ц</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xml:space="preserve"> = 23 тыс. руб./ед. Годовой объем продаж составлял П</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xml:space="preserve"> = 5 млн. единиц.</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При таких показателях годовая прибыль АО «Компания 1» составляла 40 млрд. руб.: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годовая прибыль = (Ц</w:t>
      </w:r>
      <w:proofErr w:type="gramStart"/>
      <w:r w:rsidRPr="004436FA">
        <w:rPr>
          <w:rFonts w:ascii="Times New Roman" w:hAnsi="Times New Roman" w:cs="Times New Roman"/>
          <w:sz w:val="28"/>
          <w:szCs w:val="28"/>
          <w:vertAlign w:val="subscript"/>
        </w:rPr>
        <w:t>1</w:t>
      </w:r>
      <w:proofErr w:type="gramEnd"/>
      <w:r w:rsidRPr="004436FA">
        <w:rPr>
          <w:rFonts w:ascii="Times New Roman" w:hAnsi="Times New Roman" w:cs="Times New Roman"/>
          <w:sz w:val="28"/>
          <w:szCs w:val="28"/>
        </w:rPr>
        <w:t xml:space="preserve"> – С</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 П</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xml:space="preserve"> =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(23 тыс. – 15 тыс.) * 5 млн. ед. = 40 млрд.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С 1 ноября 2013 г. АО «Перевозчик» повысило цену на грузовые перевозки. При этом установлено, что данная цена превышает сумму расходов и прибыли, необходимых для реализации услуг грузовых перевозок, а также цену, которая сформировалась на сопоставимом рынке, то есть данная цена является монопольно высокой.</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результате увеличения стоимости грузовых перевозок себестоимость товара А возросла на 1800 руб. за единицу и составила С</w:t>
      </w:r>
      <w:proofErr w:type="gramStart"/>
      <w:r w:rsidRPr="004436FA">
        <w:rPr>
          <w:rFonts w:ascii="Times New Roman" w:hAnsi="Times New Roman" w:cs="Times New Roman"/>
          <w:sz w:val="28"/>
          <w:szCs w:val="28"/>
          <w:vertAlign w:val="subscript"/>
        </w:rPr>
        <w:t>2</w:t>
      </w:r>
      <w:proofErr w:type="gramEnd"/>
      <w:r w:rsidRPr="004436FA">
        <w:rPr>
          <w:rFonts w:ascii="Times New Roman" w:hAnsi="Times New Roman" w:cs="Times New Roman"/>
          <w:sz w:val="28"/>
          <w:szCs w:val="28"/>
        </w:rPr>
        <w:t xml:space="preserve"> = 16,8 тыс. руб./ед. В связи с этим АО «Компания 1» подняло отпускную цену на 800 руб., новая цена составила Ц</w:t>
      </w:r>
      <w:r w:rsidRPr="004436FA">
        <w:rPr>
          <w:rFonts w:ascii="Times New Roman" w:hAnsi="Times New Roman" w:cs="Times New Roman"/>
          <w:sz w:val="28"/>
          <w:szCs w:val="28"/>
          <w:vertAlign w:val="subscript"/>
        </w:rPr>
        <w:t>2</w:t>
      </w:r>
      <w:r w:rsidRPr="004436FA">
        <w:rPr>
          <w:rFonts w:ascii="Times New Roman" w:hAnsi="Times New Roman" w:cs="Times New Roman"/>
          <w:sz w:val="28"/>
          <w:szCs w:val="28"/>
        </w:rPr>
        <w:t xml:space="preserve"> = 23,8 тыс. руб./ед. «Перенос издержек» составил 44,4%: из 1800 руб., приходящихся на увеличение себестоимости, компания переложила на потребителей 800 руб.. В результате поднятия отпускной цены спрос на товар А снизился с 5 млн. единиц в год до П2 = 4,5 млн. единиц в год. Новая прибыль составила 31,5 млрд.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lastRenderedPageBreak/>
        <w:t>Таким образом, общая сумма финансовых потерь АО «Компания 1» составляет 8,5 млрд. руб. Данная сумма может быть разложена на три составляющих следующим образом.</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1) Учитывая увеличение себестоимости одной единицы товара А на 1800 руб., финансовые потери АО «Компания 1» в результате завышения цен на грузовые перевозки составили 8,1 млрд.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(С</w:t>
      </w:r>
      <w:r w:rsidRPr="004436FA">
        <w:rPr>
          <w:rFonts w:ascii="Times New Roman" w:hAnsi="Times New Roman" w:cs="Times New Roman"/>
          <w:sz w:val="28"/>
          <w:szCs w:val="28"/>
          <w:vertAlign w:val="subscript"/>
        </w:rPr>
        <w:t>2</w:t>
      </w:r>
      <w:r w:rsidRPr="004436FA">
        <w:rPr>
          <w:rFonts w:ascii="Times New Roman" w:hAnsi="Times New Roman" w:cs="Times New Roman"/>
          <w:sz w:val="28"/>
          <w:szCs w:val="28"/>
        </w:rPr>
        <w:t>-С</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 П</w:t>
      </w:r>
      <w:r w:rsidRPr="004436FA">
        <w:rPr>
          <w:rFonts w:ascii="Times New Roman" w:hAnsi="Times New Roman" w:cs="Times New Roman"/>
          <w:sz w:val="28"/>
          <w:szCs w:val="28"/>
          <w:vertAlign w:val="subscript"/>
        </w:rPr>
        <w:t>2</w:t>
      </w:r>
      <w:r w:rsidRPr="004436FA">
        <w:rPr>
          <w:rFonts w:ascii="Times New Roman" w:hAnsi="Times New Roman" w:cs="Times New Roman"/>
          <w:sz w:val="28"/>
          <w:szCs w:val="28"/>
        </w:rPr>
        <w:t xml:space="preserve"> = (16,8 тыс. руб. - 15 тыс. руб.) * 4,5 млн. ед. = 8,1 млрд.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Как </w:t>
      </w:r>
      <w:r>
        <w:rPr>
          <w:rFonts w:ascii="Times New Roman" w:hAnsi="Times New Roman" w:cs="Times New Roman"/>
          <w:sz w:val="28"/>
          <w:szCs w:val="28"/>
        </w:rPr>
        <w:t>указано</w:t>
      </w:r>
      <w:r w:rsidRPr="004436FA">
        <w:rPr>
          <w:rFonts w:ascii="Times New Roman" w:hAnsi="Times New Roman" w:cs="Times New Roman"/>
          <w:sz w:val="28"/>
          <w:szCs w:val="28"/>
        </w:rPr>
        <w:t xml:space="preserve"> ранее, данная сумма подлежит взысканию пострадавшей стороной (АО «Компания 1») с нарушителя (АО «Перевозчик») в порядке применения последствий недействительности условия договора перевозки о цене и пересчета цены услуг перевозчика исходя из ее экономически обоснованной величины.</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2) Увеличение собственных цен привело к сокращению объемов продаж АО «Компания 1» товара А в размере 0,5 млн. единиц. При отсутствии нарушения со стороны АО «Перевозчик» АО «Компания 1» могло бы произвести данные 0,5 млн. единиц при себестоимости в 15 тыс. руб./ед. и продать их по цене в 23 тыс. руб./ед., получив тем самым 4 млрд. руб. Данная сумма составляет убытки от упущенных объемов.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Однако одновременно со снижением прибыли, связанным со снижением объемов продаж, АО «Компания 1» получила и дополнительный доход от роста продажной цены товара А. Как отмечалось выше, прирост отпускных цен на товар А составил 44,4% от прироста его себестоимости. Соответственно, дополнительный доход АО «Компания 1» от продажи товара по увеличенной цене составил 8,1 млрд. руб.*44,4% = 3,6 млрд. руб. Данная сумма подлежит взысканию в рамках требования о возмещении убытков.</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Убытки от упущенных объемов подлежат уменьшению на величину дополнительной прибыли от увеличения цены продажи товара и составят 0,4 млрд. руб.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bookmarkStart w:id="61" w:name="_Ref406684346"/>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62" w:name="_Toc487536235"/>
      <w:r w:rsidRPr="004436FA">
        <w:rPr>
          <w:rFonts w:ascii="Times New Roman" w:hAnsi="Times New Roman"/>
          <w:color w:val="auto"/>
          <w:sz w:val="28"/>
          <w:szCs w:val="28"/>
        </w:rPr>
        <w:t>3.4. Расчет убытков для потребителей, не являющихся непосредственными приобретателями рассматриваемого товара (услуги)</w:t>
      </w:r>
      <w:bookmarkEnd w:id="61"/>
      <w:r w:rsidRPr="004436FA">
        <w:rPr>
          <w:rFonts w:ascii="Times New Roman" w:hAnsi="Times New Roman"/>
          <w:color w:val="auto"/>
          <w:sz w:val="28"/>
          <w:szCs w:val="28"/>
        </w:rPr>
        <w:t>.</w:t>
      </w:r>
      <w:bookmarkEnd w:id="62"/>
      <w:r w:rsidRPr="004436FA">
        <w:rPr>
          <w:rFonts w:ascii="Times New Roman" w:hAnsi="Times New Roman"/>
          <w:color w:val="auto"/>
          <w:sz w:val="28"/>
          <w:szCs w:val="28"/>
        </w:rPr>
        <w:t xml:space="preserve"> </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63" w:name="_Toc487536236"/>
      <w:r w:rsidRPr="004436FA">
        <w:rPr>
          <w:rFonts w:ascii="Times New Roman" w:hAnsi="Times New Roman"/>
          <w:color w:val="auto"/>
          <w:sz w:val="28"/>
          <w:szCs w:val="28"/>
        </w:rPr>
        <w:t>3.4.1. Покупатели, приобретающие рассматриваемый товар (услугу) у конкурентов нарушителей</w:t>
      </w:r>
      <w:bookmarkEnd w:id="63"/>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Иногда нарушение может привести к убыткам даже для тех потребителей, которые покупали товар не у собственно хозяйствующих субъектов, совершивших нарушение антимонопольного законодательства, а у их конкурентов.</w:t>
      </w:r>
      <w:r w:rsidRPr="004436FA">
        <w:rPr>
          <w:rStyle w:val="ab"/>
          <w:rFonts w:ascii="Times New Roman" w:hAnsi="Times New Roman" w:cs="Times New Roman"/>
          <w:sz w:val="28"/>
          <w:szCs w:val="28"/>
        </w:rPr>
        <w:footnoteReference w:id="33"/>
      </w:r>
      <w:r w:rsidRPr="004436FA">
        <w:rPr>
          <w:rFonts w:ascii="Times New Roman" w:hAnsi="Times New Roman" w:cs="Times New Roman"/>
          <w:sz w:val="28"/>
          <w:szCs w:val="28"/>
        </w:rPr>
        <w:t xml:space="preserve"> Произойти это может по нескольким взаимосвязанным причинам.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lastRenderedPageBreak/>
        <w:t xml:space="preserve">Во-первых, согласно законам экономической теории на любом рынке цены различных хозяйствующих субъектов положительно взаимосвязаны между собой. Это значит, что </w:t>
      </w:r>
      <w:proofErr w:type="spellStart"/>
      <w:r w:rsidRPr="004436FA">
        <w:rPr>
          <w:rFonts w:ascii="Times New Roman" w:hAnsi="Times New Roman" w:cs="Times New Roman"/>
          <w:sz w:val="28"/>
          <w:szCs w:val="28"/>
        </w:rPr>
        <w:t>антиконкурентное</w:t>
      </w:r>
      <w:proofErr w:type="spellEnd"/>
      <w:r w:rsidRPr="004436FA">
        <w:rPr>
          <w:rFonts w:ascii="Times New Roman" w:hAnsi="Times New Roman" w:cs="Times New Roman"/>
          <w:sz w:val="28"/>
          <w:szCs w:val="28"/>
        </w:rPr>
        <w:t xml:space="preserve"> повышение цен нарушителями будет сопровождаться некоторым повышением цен и иных участников рынка. Потребители, приобретающие товары (услуги) у конкурентов нарушителей, таким образом, будут вынуждены платить за них больше, чем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Во-вторых, вследствие необоснованного повышения цен потребители рассматриваемого товара (услуги) в какой-то степени переключатся на конкурентные товары других производителей, которые не участвовали в нарушении. Однако более высокий спрос на продукцию конкурентов приведет к росту цен на эти товары (услуги), что в свою очередь приведет к потерям для их потребителей.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Оценка убытков для потребителей в таких случаях проводится в соответствии с общими принципами расчета убытков для непосредственных покупателей (см. подраздел 3.2 выше).</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64" w:name="_Toc487536237"/>
      <w:r w:rsidRPr="004436FA">
        <w:rPr>
          <w:rFonts w:ascii="Times New Roman" w:hAnsi="Times New Roman"/>
          <w:color w:val="auto"/>
          <w:sz w:val="28"/>
          <w:szCs w:val="28"/>
        </w:rPr>
        <w:t>3.4.2. Покупатели на рынках нижнего передела (косвенные покупатели)</w:t>
      </w:r>
      <w:bookmarkEnd w:id="64"/>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Установление необоснованно высоких цен может приводить к убыткам, как для непосредственных покупателей рассматриваемого товара (услуги), так и для покупателей на рынках нижнего передела (косвенных покупателей) за счет эффекта переноса издержек непосредственными покупателями. Расчет убытков для хозяйствующих субъектов на рынках нижнего передела базируется на той же логике, которая лежит в основе расчета убытков для непосредственных покупателей (см. подраздел 3.2 выше).</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Рассмотрим первый пример из Раздела 3.3. В связи с картельным сговором о ценах на рынке сырья АО «Компания 1» было вынуждено поднять свою отпускную цену на продукт А с Ц</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59 тыс. руб./тонну до Ц</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60 тыс. руб./тонну. Предположим, что АО «Компания 2» закупало продукт А у АО «Компания 1» с целью его перепродажи розничным покупателем. Первоначально АО «Компания 2» продавало продукт по розничной цене РЦ</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62 тыс. руб./тонну, и объем продаж составлял 1 млн. тонн. Рост оптовой цены до 60 тыс. руб./тонну привел к росту розничной цены до РЦ</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62,2 тыс. руб./тонну (эффект переноса составил лишь 20% в связи с высоким уровнем конкуренции на розничном рыке). Объемы розничных продаж АО «Компания 2» при этом упали до 800 тыс. тонн.</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По аналогии с предыдущими примерами, убытки АО «Компания 2» составили в данном случае 1 240 млн. руб.: 800 млн. руб. – убытки, вызванные завышенными ценами на сырье АО «Компания 2», из которых 160 млн. было компенсировано за счет эффекта переноса, и 600 млн. руб. – убытки, вызванные упущенными объемами. Таким образом, АО «Компания 2», закупающая продукт А у АО «Компания 1», может предъявить иск к </w:t>
      </w:r>
      <w:r w:rsidRPr="004436FA">
        <w:rPr>
          <w:rFonts w:ascii="Times New Roman" w:hAnsi="Times New Roman" w:cs="Times New Roman"/>
          <w:sz w:val="28"/>
          <w:szCs w:val="28"/>
        </w:rPr>
        <w:lastRenderedPageBreak/>
        <w:t>поставщикам «АО Компания 1» в размере 1 240 млн. руб., поскольку ценовой сговор последних привел (опосредованно) к повышению цен для АО «Компания 2».</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1"/>
        <w:spacing w:before="0" w:line="240" w:lineRule="auto"/>
        <w:ind w:firstLine="709"/>
        <w:jc w:val="both"/>
        <w:rPr>
          <w:rFonts w:ascii="Times New Roman" w:hAnsi="Times New Roman"/>
          <w:color w:val="auto"/>
        </w:rPr>
      </w:pPr>
      <w:bookmarkStart w:id="65" w:name="_Toc487536238"/>
      <w:bookmarkEnd w:id="60"/>
      <w:r w:rsidRPr="004436FA">
        <w:rPr>
          <w:rFonts w:ascii="Times New Roman" w:hAnsi="Times New Roman"/>
          <w:color w:val="auto"/>
        </w:rPr>
        <w:t>4. Расчеты убытков</w:t>
      </w:r>
      <w:r>
        <w:rPr>
          <w:rFonts w:ascii="Times New Roman" w:hAnsi="Times New Roman"/>
          <w:color w:val="auto"/>
        </w:rPr>
        <w:t>,</w:t>
      </w:r>
      <w:r w:rsidRPr="004436FA">
        <w:rPr>
          <w:rFonts w:ascii="Times New Roman" w:hAnsi="Times New Roman"/>
          <w:color w:val="auto"/>
        </w:rPr>
        <w:t xml:space="preserve"> причиненных нарушениями, ограничивающими доступ на товарный рынок, устраняющими хозяйствующих субъектов с рынка (сокращающими их рыночные доли).</w:t>
      </w:r>
      <w:bookmarkEnd w:id="65"/>
    </w:p>
    <w:p w:rsidR="00DB066E" w:rsidRPr="004436FA" w:rsidRDefault="00DB066E" w:rsidP="00DB066E">
      <w:pPr>
        <w:pStyle w:val="2"/>
        <w:spacing w:before="0" w:line="240" w:lineRule="auto"/>
        <w:ind w:firstLine="709"/>
        <w:jc w:val="both"/>
        <w:rPr>
          <w:rFonts w:ascii="Times New Roman" w:hAnsi="Times New Roman"/>
          <w:color w:val="auto"/>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66" w:name="_Toc487536239"/>
      <w:r w:rsidRPr="004436FA">
        <w:rPr>
          <w:rFonts w:ascii="Times New Roman" w:hAnsi="Times New Roman"/>
          <w:color w:val="auto"/>
          <w:sz w:val="28"/>
          <w:szCs w:val="28"/>
        </w:rPr>
        <w:t>4.1. Введение.</w:t>
      </w:r>
      <w:bookmarkEnd w:id="66"/>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некоторых случаях действия, соглашения хозяйствующих субъектов, органов власти могут ограничивать доступ на рынок для имеющихся или потенциальных конкурентов или быть направленными на сокращение рыночной доли конкурентов. К таким случаям относятся, например, установление монопольно низких цен, заключение эксклюзивных контрактов с поставщиками или покупателями, установление необоснованно высоких цен на рынке верхнего передела, продажа совмещенного набора товаров или услуг,</w:t>
      </w:r>
      <w:r w:rsidRPr="004436FA">
        <w:rPr>
          <w:rStyle w:val="ab"/>
          <w:rFonts w:ascii="Times New Roman" w:hAnsi="Times New Roman" w:cs="Times New Roman"/>
          <w:sz w:val="28"/>
          <w:szCs w:val="28"/>
        </w:rPr>
        <w:footnoteReference w:id="34"/>
      </w:r>
      <w:r w:rsidRPr="004436FA">
        <w:rPr>
          <w:rFonts w:ascii="Times New Roman" w:hAnsi="Times New Roman" w:cs="Times New Roman"/>
          <w:sz w:val="28"/>
          <w:szCs w:val="28"/>
        </w:rPr>
        <w:t xml:space="preserve"> навязывание контрагентам невыгодных условий договоров, недобросовестная конкуренция и др.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Убытки, причиненные такими нарушениями, в первую очередь несут имеющиеся конкуренты рассматриваемого хозяйствующего субъекта или субъектов. Помимо этого, убытки могут нести и потенциальные конкуренты в случае, если они планировали вход на рынок, но были вынуждены его отменить в силу наличия ограничений конкуренции. Наконец, убытки также могут понести и покупатели рассматриваемого товара или услуги.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Настоящий раздел построен следующим образом. Оценка убытков хозяйствующих субъектов, уже присутствовавших на рынке во время нарушения, рассматривается в подразделе 4.2. Оценка убытков хозяйствующих субъектов, которые планировали войти на рынок, но не смогли этого сделать из-за незаконного ограничения конкуренции, рассматривается в подразделе 4.3. Подраздел 4.4. посвящен убыткам покупателей.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67" w:name="_Ref406684785"/>
      <w:bookmarkStart w:id="68" w:name="_Toc487536240"/>
      <w:r w:rsidRPr="004436FA">
        <w:rPr>
          <w:rFonts w:ascii="Times New Roman" w:hAnsi="Times New Roman"/>
          <w:color w:val="auto"/>
          <w:sz w:val="28"/>
          <w:szCs w:val="28"/>
        </w:rPr>
        <w:t>4.2. Оценка убытков для имеющихся конкурентов</w:t>
      </w:r>
      <w:bookmarkEnd w:id="67"/>
      <w:r w:rsidRPr="004436FA">
        <w:rPr>
          <w:rFonts w:ascii="Times New Roman" w:hAnsi="Times New Roman"/>
          <w:color w:val="auto"/>
          <w:sz w:val="28"/>
          <w:szCs w:val="28"/>
        </w:rPr>
        <w:t>.</w:t>
      </w:r>
      <w:bookmarkEnd w:id="68"/>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Эффекты ограничения конкуренции для имеющихся конкурентов могут проявляться по-разному. Например, зак</w:t>
      </w:r>
      <w:r>
        <w:rPr>
          <w:rFonts w:ascii="Times New Roman" w:hAnsi="Times New Roman" w:cs="Times New Roman"/>
          <w:sz w:val="28"/>
          <w:szCs w:val="28"/>
        </w:rPr>
        <w:t>лючение эксклюзивного контракта</w:t>
      </w:r>
      <w:r w:rsidRPr="004436FA">
        <w:rPr>
          <w:rFonts w:ascii="Times New Roman" w:hAnsi="Times New Roman" w:cs="Times New Roman"/>
          <w:sz w:val="28"/>
          <w:szCs w:val="28"/>
        </w:rPr>
        <w:t xml:space="preserve"> с одним дистриб</w:t>
      </w:r>
      <w:r>
        <w:rPr>
          <w:rFonts w:ascii="Times New Roman" w:hAnsi="Times New Roman" w:cs="Times New Roman"/>
          <w:sz w:val="28"/>
          <w:szCs w:val="28"/>
        </w:rPr>
        <w:t>ью</w:t>
      </w:r>
      <w:r w:rsidRPr="004436FA">
        <w:rPr>
          <w:rFonts w:ascii="Times New Roman" w:hAnsi="Times New Roman" w:cs="Times New Roman"/>
          <w:sz w:val="28"/>
          <w:szCs w:val="28"/>
        </w:rPr>
        <w:t xml:space="preserve">тором может привести к росту издержек для других дистрибуторов за счет ослабления их конкурентной позиции. Установление монопольно низких цен доминирующим субъектом может привести к снижению выручки его конкурентов и их невозможности покрывать свои издержки производства. И в том и в другом случае возможно снижение рентабельности пострадавшего лица, уменьшение его рыночной доли и, возможно, выход пострадавшего лица с данного рынка в принципе. </w:t>
      </w:r>
      <w:r w:rsidRPr="004436FA">
        <w:rPr>
          <w:rFonts w:ascii="Times New Roman" w:hAnsi="Times New Roman" w:cs="Times New Roman"/>
          <w:sz w:val="28"/>
          <w:szCs w:val="28"/>
        </w:rPr>
        <w:lastRenderedPageBreak/>
        <w:t>Негативный эффект снижения прибыльности (рентабельности) может быть усилен потерей отдачи от эффекта масштаба</w:t>
      </w:r>
      <w:r w:rsidRPr="004436FA">
        <w:rPr>
          <w:rStyle w:val="ab"/>
          <w:rFonts w:ascii="Times New Roman" w:hAnsi="Times New Roman" w:cs="Times New Roman"/>
          <w:sz w:val="28"/>
          <w:szCs w:val="28"/>
        </w:rPr>
        <w:footnoteReference w:id="35"/>
      </w:r>
      <w:r w:rsidRPr="004436FA">
        <w:rPr>
          <w:rFonts w:ascii="Times New Roman" w:hAnsi="Times New Roman" w:cs="Times New Roman"/>
          <w:sz w:val="28"/>
          <w:szCs w:val="28"/>
        </w:rPr>
        <w:t xml:space="preserve"> или сетевыми эффектами.</w:t>
      </w:r>
      <w:r w:rsidRPr="004436FA">
        <w:rPr>
          <w:rStyle w:val="ab"/>
          <w:rFonts w:ascii="Times New Roman" w:hAnsi="Times New Roman" w:cs="Times New Roman"/>
          <w:sz w:val="28"/>
          <w:szCs w:val="28"/>
        </w:rPr>
        <w:footnoteReference w:id="36"/>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При расчете убытков для имеющихся конкурентов необходимо ответить на следующие вопросы:</w:t>
      </w:r>
    </w:p>
    <w:p w:rsidR="00DB066E" w:rsidRPr="004436FA" w:rsidRDefault="00DB066E" w:rsidP="00DB066E">
      <w:pPr>
        <w:pStyle w:val="ConsPlusNormal"/>
        <w:numPr>
          <w:ilvl w:val="0"/>
          <w:numId w:val="36"/>
        </w:numPr>
        <w:tabs>
          <w:tab w:val="left" w:pos="851"/>
        </w:tabs>
        <w:ind w:left="0" w:firstLine="349"/>
        <w:jc w:val="both"/>
      </w:pPr>
      <w:r w:rsidRPr="004436FA">
        <w:t>насколько были занижены выручка, прибыль, рыночная доля и другие показатели финансовой деятельности пострадавшей стороны в результате нарушения?</w:t>
      </w:r>
    </w:p>
    <w:p w:rsidR="00DB066E" w:rsidRPr="004436FA" w:rsidRDefault="00DB066E" w:rsidP="00DB066E">
      <w:pPr>
        <w:pStyle w:val="ConsPlusNormal"/>
        <w:numPr>
          <w:ilvl w:val="0"/>
          <w:numId w:val="36"/>
        </w:numPr>
        <w:tabs>
          <w:tab w:val="left" w:pos="851"/>
        </w:tabs>
        <w:ind w:left="0" w:firstLine="349"/>
        <w:jc w:val="both"/>
      </w:pPr>
      <w:r w:rsidRPr="004436FA">
        <w:t xml:space="preserve">каковы были бы издержки, выручка, прибыль и другие показатели финансовой деятельности пострадавшей стороны, если бы нарушения не произошло?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Ответы на эти вопросы позволяют провести </w:t>
      </w:r>
      <w:proofErr w:type="spellStart"/>
      <w:r w:rsidRPr="004436FA">
        <w:rPr>
          <w:rFonts w:ascii="Times New Roman" w:hAnsi="Times New Roman" w:cs="Times New Roman"/>
          <w:sz w:val="28"/>
          <w:szCs w:val="28"/>
        </w:rPr>
        <w:t>контрфактуальный</w:t>
      </w:r>
      <w:proofErr w:type="spellEnd"/>
      <w:r w:rsidRPr="004436FA">
        <w:rPr>
          <w:rFonts w:ascii="Times New Roman" w:hAnsi="Times New Roman" w:cs="Times New Roman"/>
          <w:sz w:val="28"/>
          <w:szCs w:val="28"/>
        </w:rPr>
        <w:t xml:space="preserve"> анализ. Все методы, рассмотренные в разделе 2 (сравнительный экономический анализ, финансовое и экономическое моделирование), могут быть использованы для этой цели. Например, анализ доли рынка пострадавшего лица в периоде, предшествовавшем нарушению, может позволить рассчитать долю рынка, которую пострадавшее лицо имело бы в последующем при отсутствии нарушения, или его прибыль. Как и в остальных случаях оценки убытков, одновременное использование нескольких методов позволяет повысить надежность оценки.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Дополнительную значимость для </w:t>
      </w:r>
      <w:proofErr w:type="spellStart"/>
      <w:r w:rsidRPr="004436FA">
        <w:rPr>
          <w:rFonts w:ascii="Times New Roman" w:hAnsi="Times New Roman" w:cs="Times New Roman"/>
          <w:sz w:val="28"/>
          <w:szCs w:val="28"/>
        </w:rPr>
        <w:t>контрфактуального</w:t>
      </w:r>
      <w:proofErr w:type="spellEnd"/>
      <w:r w:rsidRPr="004436FA">
        <w:rPr>
          <w:rFonts w:ascii="Times New Roman" w:hAnsi="Times New Roman" w:cs="Times New Roman"/>
          <w:sz w:val="28"/>
          <w:szCs w:val="28"/>
        </w:rPr>
        <w:t xml:space="preserve"> анализа приобретают внутренние маркетинговые исследования или коммерческие планы хозяйствующих субъектов. Соответствующие внутренние документы компаний, если они были подготовлены в период до нарушения, могут содержать объективные прогнозы по развитию долей рынка или по рентабельности хозяйствующих субъектов. Например, если есть доказательства того, что хозяйствующий субъект планировал инвестиции по расширению мощностей и наращивание производства, но был вынужден отменить или отложить данные планы в результате незаконного ограничения конкуренции со стороны других участников рынка или органов власти, то эту информацию необходимо должным образом учесть при проведении </w:t>
      </w:r>
      <w:proofErr w:type="spellStart"/>
      <w:r w:rsidRPr="004436FA">
        <w:rPr>
          <w:rFonts w:ascii="Times New Roman" w:hAnsi="Times New Roman" w:cs="Times New Roman"/>
          <w:sz w:val="28"/>
          <w:szCs w:val="28"/>
        </w:rPr>
        <w:t>контрфактуального</w:t>
      </w:r>
      <w:proofErr w:type="spellEnd"/>
      <w:r w:rsidRPr="004436FA">
        <w:rPr>
          <w:rFonts w:ascii="Times New Roman" w:hAnsi="Times New Roman" w:cs="Times New Roman"/>
          <w:sz w:val="28"/>
          <w:szCs w:val="28"/>
        </w:rPr>
        <w:t xml:space="preserve"> анализа.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По результатам </w:t>
      </w:r>
      <w:proofErr w:type="spellStart"/>
      <w:r w:rsidRPr="004436FA">
        <w:rPr>
          <w:rFonts w:ascii="Times New Roman" w:hAnsi="Times New Roman" w:cs="Times New Roman"/>
          <w:sz w:val="28"/>
          <w:szCs w:val="28"/>
        </w:rPr>
        <w:t>контрфактуального</w:t>
      </w:r>
      <w:proofErr w:type="spellEnd"/>
      <w:r w:rsidRPr="004436FA">
        <w:rPr>
          <w:rFonts w:ascii="Times New Roman" w:hAnsi="Times New Roman" w:cs="Times New Roman"/>
          <w:sz w:val="28"/>
          <w:szCs w:val="28"/>
        </w:rPr>
        <w:t xml:space="preserve"> анализа можно определить убытки как разницу между фактическим финансовым состоянием (рыночным положением) пострадавших хозяйствующих субъектов и тем, которое могло бы иметь место при отсутствии ограничения конкуренции. Выбор конкретного показателя (индикатора) хозяйственной деятельности для оценки убытков может быть продиктован особенностями рассматриваемой ситуации и должен быть соответствующим образом обоснован стороной, </w:t>
      </w:r>
      <w:r w:rsidRPr="004436FA">
        <w:rPr>
          <w:rFonts w:ascii="Times New Roman" w:hAnsi="Times New Roman" w:cs="Times New Roman"/>
          <w:sz w:val="28"/>
          <w:szCs w:val="28"/>
        </w:rPr>
        <w:lastRenderedPageBreak/>
        <w:t xml:space="preserve">осуществляющей оценку убытков. Так, если оценка выручки не представляется возможной и если нарушение в первую очередь привело к росту издержек, то приближенная оценка убытка может быть получена за счет рассмотрения одних лишь издержек, без учета выручки. И наоборот, если нарушение в первую очередь привело к падению выручки и если надежная оценка издержек по каким-то причинам невозможна, то анализ одной лишь выручки, без учета издержек, может быть допустим.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Важно отметить, что ограничение конкуренции может иметь долгосрочные последствия для конкурирующих хозяйствующих субъектов, если их рыночная позиция была значительным образом ослаблена. По этой причине экономическая ситуация данных хозяйствующих субъектов, наблюдаемая после периода нарушения, как правило, не является показательной относительно ситуации, которая могла бы иметь место при отсутствии нарушения. Соответственно, при проведении сравнительного анализа предпочтительно использовать для сравнения период, предшествовавший нарушению, а не период после окончания нарушения.</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Если ограничение конкуренции привело к снижению рыночной доли хозяйствующего субъекта или иным образом ослабило его рыночную позицию, то хозяйствующий субъект продолжает нести убытки и после окончания нарушения. А именно, прибыль, которую хозяйствующий субъект получает после окончания нарушения, будет меньше той прибыли, на которую он мог бы рассчитывать, если бы нарушения не было вовсе. Данные потери также будут составлять упущенную выгоду пострадавшего лица, подлежащую возмещению.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Наконец, при расчете суммарных убытков за ряд периодов, данные убытки должны учитывать упущенные коммерческие и инвестиционные возможности пострадавшего лица.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Для наглядной иллюстрации основных принципов расчета убытков, причиненных имеющимся конкурентам, рассмотрим следующий пример.</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b/>
          <w:sz w:val="28"/>
          <w:szCs w:val="28"/>
        </w:rPr>
      </w:pPr>
      <w:bookmarkStart w:id="69" w:name="_Ref406684877"/>
      <w:r w:rsidRPr="004436FA">
        <w:rPr>
          <w:rFonts w:ascii="Times New Roman" w:hAnsi="Times New Roman" w:cs="Times New Roman"/>
          <w:b/>
          <w:sz w:val="28"/>
          <w:szCs w:val="28"/>
        </w:rPr>
        <w:t>Необоснованный отказ от поставок ресурса</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АО «Компания А» является вертикально-интегрированной компанией, производящей промежуточный продукт 1 и конечный продукт 2. На рынке продукта 1 АО «Компания А» является монополистом. Рынок продукта 2 является конкурентным, и в качестве основного конкурента АО «Компания А» выступает АО «Компания Б». АО «Компания Б» закупает продукт 1, необходимый для производства продукта 2, у АО «Компания А».</w:t>
      </w:r>
    </w:p>
    <w:p w:rsidR="00DB066E" w:rsidRPr="004436FA" w:rsidRDefault="00B850E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group id="Canvas 8" o:spid="_x0000_s1102" editas="canvas" style="width:222.9pt;height:134pt;mso-position-horizontal-relative:char;mso-position-vertical-relative:line" coordsize="28308,17018">
            <v:shape id="_x0000_s1103" type="#_x0000_t75" style="position:absolute;width:28308;height:17018;visibility:visible">
              <v:fill o:detectmouseclick="t"/>
              <v:path o:connecttype="none"/>
            </v:shape>
            <v:shape id="Text Box 19" o:spid="_x0000_s1104" type="#_x0000_t202" style="position:absolute;left:4769;top:556;width:9782;height:30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cMA&#10;AADaAAAADwAAAGRycy9kb3ducmV2LnhtbESPW2sCMRSE3wv+h3CEvtVsLyyyGkWF0gv1QVvfj5tj&#10;snVzsiSprv++KRR8HGa+GWY6710rThRi41nB/agAQVx73bBR8PX5fDcGEROyxtYzKbhQhPlscDPF&#10;Svszb+i0TUbkEo4VKrApdZWUsbbkMI58R5y9gw8OU5bBSB3wnMtdKx+KopQOG84LFjtaWaqP2x+n&#10;4DFc9i9H826WTx+7t0WxLr/tuFTqdtgvJiAS9eka/qdfdebg70q+A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cMAAADaAAAADwAAAAAAAAAAAAAAAACYAgAAZHJzL2Rv&#10;d25yZXYueG1sUEsFBgAAAAAEAAQA9QAAAIgDAAAAAA==&#10;" filled="f">
              <v:textbox inset="0,0,0,0">
                <w:txbxContent>
                  <w:p w:rsidR="00DB066E" w:rsidRPr="00394B84" w:rsidRDefault="00DB066E" w:rsidP="00DB066E">
                    <w:pPr>
                      <w:pStyle w:val="RBBBodytext"/>
                      <w:jc w:val="center"/>
                    </w:pPr>
                    <w:r>
                      <w:t>Компания</w:t>
                    </w:r>
                    <w:r w:rsidRPr="00823E6A">
                      <w:t xml:space="preserve"> А</w:t>
                    </w:r>
                  </w:p>
                </w:txbxContent>
              </v:textbox>
            </v:shape>
            <v:shape id="Text Box 19" o:spid="_x0000_s1105" type="#_x0000_t202" style="position:absolute;left:4772;top:13105;width:22236;height:30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38tsQA&#10;AADaAAAADwAAAGRycy9kb3ducmV2LnhtbESPQWvCQBSE70L/w/IKvYhuLKWENBspUsGDiNoWPT6y&#10;r9mQ7NuQXU38912h0OMwM98w+XK0rbhS72vHChbzBARx6XTNlYKvz/UsBeEDssbWMSm4kYdl8TDJ&#10;MdNu4ANdj6ESEcI+QwUmhC6T0peGLPq564ij9+N6iyHKvpK6xyHCbSufk+RVWqw5LhjsaGWobI4X&#10;q6DZmf3htF2dy6mkphq+k1N6+1Dq6XF8fwMRaAz/4b/2Rit4gfuVeAN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N/LbEAAAA2gAAAA8AAAAAAAAAAAAAAAAAmAIAAGRycy9k&#10;b3ducmV2LnhtbFBLBQYAAAAABAAEAPUAAACJAwAAAAA=&#10;" filled="f">
              <v:textbox inset="0,0,0,0">
                <w:txbxContent>
                  <w:p w:rsidR="00DB066E" w:rsidRPr="00823E6A" w:rsidRDefault="00DB066E" w:rsidP="00DB066E">
                    <w:pPr>
                      <w:pStyle w:val="a3"/>
                      <w:spacing w:before="120" w:beforeAutospacing="0" w:after="240" w:line="288" w:lineRule="auto"/>
                      <w:jc w:val="center"/>
                    </w:pPr>
                    <w:r>
                      <w:rPr>
                        <w:rFonts w:ascii="Arial" w:eastAsia="Calibri" w:hAnsi="Arial" w:cs="Arial"/>
                        <w:sz w:val="20"/>
                        <w:szCs w:val="20"/>
                      </w:rPr>
                      <w:t>Конечные потребители</w:t>
                    </w:r>
                  </w:p>
                </w:txbxContent>
              </v:textbox>
            </v:shape>
            <v:shape id="Text Box 19" o:spid="_x0000_s1106" type="#_x0000_t202" style="position:absolute;left:4771;top:6919;width:9781;height:30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wfLcUA&#10;AADbAAAADwAAAGRycy9kb3ducmV2LnhtbESPQWvCQBCF74L/YRmhF6mb9lAkukoRhR6kVFuxxyE7&#10;zYZkZ0N2NfHfdw6Ctxnem/e+Wa4H36grdbEKbOBlloEiLoKtuDTw8717noOKCdliE5gM3CjCejUe&#10;LTG3oecDXY+pVBLCMUcDLqU21zoWjjzGWWiJRfsLnccka1dq22Ev4b7Rr1n2pj1WLA0OW9o4Kurj&#10;xRuoP93X4bzf/BZTTXXZn7Lz/LY15mkyvC9AJRrSw3y//rCCL/T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3B8txQAAANsAAAAPAAAAAAAAAAAAAAAAAJgCAABkcnMv&#10;ZG93bnJldi54bWxQSwUGAAAAAAQABAD1AAAAigMAAAAA&#10;" filled="f">
              <v:textbox inset="0,0,0,0">
                <w:txbxContent>
                  <w:p w:rsidR="00DB066E" w:rsidRPr="00823E6A" w:rsidRDefault="00DB066E" w:rsidP="00DB066E">
                    <w:pPr>
                      <w:pStyle w:val="a3"/>
                      <w:spacing w:before="120" w:beforeAutospacing="0" w:after="240" w:line="288" w:lineRule="auto"/>
                      <w:jc w:val="center"/>
                    </w:pPr>
                    <w:r w:rsidRPr="00823E6A">
                      <w:rPr>
                        <w:rFonts w:ascii="Arial" w:eastAsia="Calibri" w:hAnsi="Arial" w:cs="Arial"/>
                        <w:sz w:val="20"/>
                        <w:szCs w:val="20"/>
                      </w:rPr>
                      <w:t>Компания А</w:t>
                    </w:r>
                  </w:p>
                </w:txbxContent>
              </v:textbox>
            </v:shape>
            <v:shape id="Text Box 19" o:spid="_x0000_s1107" type="#_x0000_t202" style="position:absolute;left:17227;top:6888;width:9781;height:30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C6tsEA&#10;AADbAAAADwAAAGRycy9kb3ducmV2LnhtbERPTYvCMBC9C/6HMIIX0VQPi1SjiCjsQUTdFT0OzdiU&#10;NpPSZG3992ZhYW/zeJ+zXHe2Ek9qfOFYwXSSgCDOnC44V/D9tR/PQfiArLFyTApe5GG96veWmGrX&#10;8pmel5CLGMI+RQUmhDqV0meGLPqJq4kj93CNxRBhk0vdYBvDbSVnSfIhLRYcGwzWtDWUlZcfq6A8&#10;mtP5dtjes5GkMm+vyW3+2ik1HHSbBYhAXfgX/7k/dZw/hd9f4g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QurbBAAAA2wAAAA8AAAAAAAAAAAAAAAAAmAIAAGRycy9kb3du&#10;cmV2LnhtbFBLBQYAAAAABAAEAPUAAACGAwAAAAA=&#10;" filled="f">
              <v:textbox inset="0,0,0,0">
                <w:txbxContent>
                  <w:p w:rsidR="00DB066E" w:rsidRPr="00823E6A" w:rsidRDefault="00DB066E" w:rsidP="00DB066E">
                    <w:pPr>
                      <w:pStyle w:val="a3"/>
                      <w:spacing w:before="120" w:beforeAutospacing="0" w:after="240" w:line="288" w:lineRule="auto"/>
                      <w:jc w:val="center"/>
                    </w:pPr>
                    <w:r>
                      <w:rPr>
                        <w:rFonts w:ascii="Arial" w:eastAsia="Calibri" w:hAnsi="Arial" w:cs="Arial"/>
                        <w:sz w:val="20"/>
                        <w:szCs w:val="20"/>
                      </w:rPr>
                      <w:t>Компания Б</w:t>
                    </w:r>
                  </w:p>
                </w:txbxContent>
              </v:textbox>
            </v:shape>
            <v:shape id="Text Box 22" o:spid="_x0000_s1108" type="#_x0000_t202" style="position:absolute;left:762;top:3803;width:5969;height:30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JIxsIA&#10;AADbAAAADwAAAGRycy9kb3ducmV2LnhtbERPS2vCQBC+F/wPyxR6Ed0opdrUTRAh4MFD6+M+7I5J&#10;aHY2ZFez/fduodDbfHzP2ZTRduJOg28dK1jMMxDE2pmWawXnUzVbg/AB2WDnmBT8kIeymDxtMDdu&#10;5C+6H0MtUgj7HBU0IfS5lF43ZNHPXU+cuKsbLIYEh1qaAccUbju5zLI3abHl1NBgT7uG9PfxZhVc&#10;9EpPY7XHXazXn9vr661/P0yVenmO2w8QgWL4F/+59ybNX8LvL+kAW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kjGwgAAANsAAAAPAAAAAAAAAAAAAAAAAJgCAABkcnMvZG93&#10;bnJldi54bWxQSwUGAAAAAAQABAD1AAAAhwMAAAAA&#10;" filled="f" stroked="f" strokeweight=".5pt">
              <v:textbox inset="0,0,0,0">
                <w:txbxContent>
                  <w:p w:rsidR="00DB066E" w:rsidRPr="00236FBF" w:rsidRDefault="00DB066E" w:rsidP="00DB066E">
                    <w:pPr>
                      <w:pStyle w:val="RBBBodytext"/>
                    </w:pPr>
                    <w:r w:rsidRPr="00823E6A">
                      <w:t>Продукт 1</w:t>
                    </w:r>
                  </w:p>
                </w:txbxContent>
              </v:textbox>
            </v:shape>
            <v:shape id="Text Box 22" o:spid="_x0000_s1109" type="#_x0000_t202" style="position:absolute;left:762;top:10046;width:5969;height:30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PMIA&#10;AADbAAAADwAAAGRycy9kb3ducmV2LnhtbERPTWvCQBC9C/6HZYTezKa2FomuEoSGgifTVvA2ZMck&#10;NDsbdrcm9dd3CwVv83ifs9mNphNXcr61rOAxSUEQV1a3XCv4eH+dr0D4gKyxs0wKfsjDbjudbDDT&#10;duAjXctQixjCPkMFTQh9JqWvGjLoE9sTR+5incEQoauldjjEcNPJRZq+SIMtx4YGe9o3VH2V30ZB&#10;Md5Ozwd3Dl2Jx2r5afL6UgxKPczGfA0i0Bju4n/3m47zn+Dvl3i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wiw8wgAAANsAAAAPAAAAAAAAAAAAAAAAAJgCAABkcnMvZG93&#10;bnJldi54bWxQSwUGAAAAAAQABAD1AAAAhwMAAAAA&#10;" filled="f" stroked="f" strokeweight=".5pt">
              <v:textbox inset="0,0,0,0">
                <w:txbxContent>
                  <w:p w:rsidR="00DB066E" w:rsidRPr="00236FBF" w:rsidRDefault="00DB066E" w:rsidP="00DB066E">
                    <w:pPr>
                      <w:pStyle w:val="RBBBodytext"/>
                    </w:pPr>
                    <w:r w:rsidRPr="00823E6A">
                      <w:t>Продукт</w:t>
                    </w:r>
                    <w:r>
                      <w:t xml:space="preserve"> 2</w:t>
                    </w:r>
                  </w:p>
                </w:txbxContent>
              </v:textbox>
            </v:shape>
            <v:shape id="Straight Arrow Connector 24" o:spid="_x0000_s1110" type="#_x0000_t32" style="position:absolute;left:9660;top:3617;width:2;height:330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Straight Arrow Connector 30" o:spid="_x0000_s1111" type="#_x0000_t32" style="position:absolute;left:9660;top:3617;width:7564;height:324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Straight Arrow Connector 41" o:spid="_x0000_s1112" type="#_x0000_t32" style="position:absolute;left:9658;top:9981;width:4;height:314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shape id="Straight Arrow Connector 42" o:spid="_x0000_s1113" type="#_x0000_t32" style="position:absolute;left:22114;top:9950;width:3;height:315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w10:wrap type="none"/>
            <w10:anchorlock/>
          </v:group>
        </w:pic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lastRenderedPageBreak/>
        <w:t>Начиная с 2011 г., АО «Компания А» необоснованно сократило поставки продукта 1 для АО «Компания Б». Данное сокращение поставок привело к сокращению рыночной доли АО «Компания Б» на рынке продукта 2 с 20% до 10% (см. нижеследующую диаграмму, левая часть). В свою очередь потеря рыночной доли привела к пропорциональному снижению прибыли (правая часть диаграммы)</w:t>
      </w:r>
      <w:r w:rsidRPr="004436FA">
        <w:rPr>
          <w:rStyle w:val="ab"/>
          <w:rFonts w:ascii="Times New Roman" w:hAnsi="Times New Roman" w:cs="Times New Roman"/>
          <w:sz w:val="28"/>
          <w:szCs w:val="28"/>
        </w:rPr>
        <w:footnoteReference w:id="37"/>
      </w:r>
      <w:r w:rsidRPr="004436FA">
        <w:rPr>
          <w:rFonts w:ascii="Times New Roman" w:hAnsi="Times New Roman" w:cs="Times New Roman"/>
          <w:sz w:val="28"/>
          <w:szCs w:val="28"/>
        </w:rPr>
        <w:t>.</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lang w:val="en-GB"/>
        </w:rPr>
      </w:pPr>
      <w:r w:rsidRPr="004436FA">
        <w:rPr>
          <w:rFonts w:ascii="Times New Roman" w:hAnsi="Times New Roman" w:cs="Times New Roman"/>
          <w:noProof/>
          <w:sz w:val="28"/>
          <w:szCs w:val="28"/>
        </w:rPr>
        <w:drawing>
          <wp:inline distT="0" distB="0" distL="0" distR="0">
            <wp:extent cx="2623820" cy="3244215"/>
            <wp:effectExtent l="0" t="0" r="0" b="0"/>
            <wp:docPr id="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4436FA">
        <w:rPr>
          <w:rFonts w:ascii="Times New Roman" w:hAnsi="Times New Roman" w:cs="Times New Roman"/>
          <w:noProof/>
          <w:sz w:val="28"/>
          <w:szCs w:val="28"/>
        </w:rPr>
        <w:drawing>
          <wp:inline distT="0" distB="0" distL="0" distR="0">
            <wp:extent cx="2623820" cy="3244215"/>
            <wp:effectExtent l="0" t="0" r="0" b="0"/>
            <wp:docPr id="9"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 xml:space="preserve">АО «Компания Б» обратилось с жалобой в ФАС России. В результате АО «Компания А» было признано нарушившим антимонопольное законодательство, после чего оно возобновило поставки продукта 1 для АО «Компания Б» в 2012 г. Пострадавшее лицо ожидает, что его рыночная доля и прибыль вернутся на прежний уровень не раньше первой половины 2014 г. Упущенная выгода как прошлых, так и будущих периодов, которую АО «Компания Б» получило бы при отсутствии нарушения, закрашена белым цветом на диаграмме, как разница между </w:t>
      </w:r>
      <w:proofErr w:type="spellStart"/>
      <w:r w:rsidRPr="004436FA">
        <w:rPr>
          <w:rFonts w:ascii="Times New Roman" w:hAnsi="Times New Roman" w:cs="Times New Roman"/>
          <w:sz w:val="28"/>
          <w:szCs w:val="28"/>
        </w:rPr>
        <w:t>контрфактуальной</w:t>
      </w:r>
      <w:proofErr w:type="spellEnd"/>
      <w:r w:rsidRPr="004436FA">
        <w:rPr>
          <w:rStyle w:val="ab"/>
          <w:rFonts w:ascii="Times New Roman" w:hAnsi="Times New Roman" w:cs="Times New Roman"/>
          <w:sz w:val="28"/>
          <w:szCs w:val="28"/>
        </w:rPr>
        <w:footnoteReference w:id="38"/>
      </w:r>
      <w:r w:rsidRPr="004436FA">
        <w:rPr>
          <w:rFonts w:ascii="Times New Roman" w:hAnsi="Times New Roman" w:cs="Times New Roman"/>
          <w:sz w:val="28"/>
          <w:szCs w:val="28"/>
        </w:rPr>
        <w:t xml:space="preserve"> и фактической прибылью. </w:t>
      </w:r>
      <w:proofErr w:type="spellStart"/>
      <w:r w:rsidRPr="004436FA">
        <w:rPr>
          <w:rFonts w:ascii="Times New Roman" w:hAnsi="Times New Roman" w:cs="Times New Roman"/>
          <w:sz w:val="28"/>
          <w:szCs w:val="28"/>
        </w:rPr>
        <w:t>Контрфактуальная</w:t>
      </w:r>
      <w:proofErr w:type="spellEnd"/>
      <w:r w:rsidRPr="004436FA">
        <w:rPr>
          <w:rFonts w:ascii="Times New Roman" w:hAnsi="Times New Roman" w:cs="Times New Roman"/>
          <w:sz w:val="28"/>
          <w:szCs w:val="28"/>
        </w:rPr>
        <w:t xml:space="preserve"> прибыль должна включать, при наличии соответствующего обоснования, доходы от разумного экономического использования свободных денежных средств компании, например, доходы от реинвестиций данных средств в производство. АО «Компания Б» может подать иск на возмещение всей указанной упущенной выгоды. </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Бремя доказывания того, что при отсутствии нарушения рыночная доля и прибыль оставались бы на своем прежнем уровне, и что эти показатели полностью восстановятся в 2014 г., возлагается на АО «Компания Б».</w:t>
      </w:r>
    </w:p>
    <w:p w:rsidR="00DB066E" w:rsidRPr="004436FA" w:rsidRDefault="00DB066E" w:rsidP="00DB066E">
      <w:pPr>
        <w:pStyle w:val="RBBBodytext"/>
        <w:spacing w:before="0" w:after="0" w:line="240" w:lineRule="auto"/>
        <w:rPr>
          <w:rFonts w:ascii="Times New Roman" w:hAnsi="Times New Roman" w:cs="Times New Roman"/>
          <w:sz w:val="28"/>
          <w:szCs w:val="28"/>
        </w:rPr>
      </w:pPr>
    </w:p>
    <w:p w:rsidR="00DB066E" w:rsidRDefault="00DB066E" w:rsidP="00DB066E">
      <w:pPr>
        <w:pStyle w:val="3"/>
        <w:spacing w:before="0" w:line="240" w:lineRule="auto"/>
        <w:ind w:firstLine="567"/>
        <w:jc w:val="both"/>
        <w:rPr>
          <w:rFonts w:ascii="Times New Roman" w:hAnsi="Times New Roman"/>
          <w:color w:val="auto"/>
          <w:sz w:val="28"/>
          <w:szCs w:val="28"/>
        </w:rPr>
      </w:pPr>
      <w:bookmarkStart w:id="70" w:name="_Toc487536241"/>
      <w:r w:rsidRPr="004436FA">
        <w:rPr>
          <w:rFonts w:ascii="Times New Roman" w:hAnsi="Times New Roman"/>
          <w:color w:val="auto"/>
          <w:sz w:val="28"/>
          <w:szCs w:val="28"/>
        </w:rPr>
        <w:lastRenderedPageBreak/>
        <w:t>4.2.1. Оценка убытков конкурентов от недобросовестной конкуренции.</w:t>
      </w:r>
      <w:bookmarkEnd w:id="70"/>
      <w:r w:rsidRPr="004436FA">
        <w:rPr>
          <w:rFonts w:ascii="Times New Roman" w:hAnsi="Times New Roman"/>
          <w:color w:val="auto"/>
          <w:sz w:val="28"/>
          <w:szCs w:val="28"/>
        </w:rPr>
        <w:t xml:space="preserve"> </w:t>
      </w:r>
    </w:p>
    <w:p w:rsidR="00DB066E" w:rsidRPr="00FD219B" w:rsidRDefault="00DB066E" w:rsidP="00DB066E">
      <w:pPr>
        <w:spacing w:after="0" w:line="240" w:lineRule="auto"/>
      </w:pP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Не меньший ущерб, чем монополистическая деятельность, способна нанести   недобросовестная конкуренция – злоупотребления, от которых сегодня страдает все больше компаний и предпринимателей, каким бы бизнесом они не занимались.</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 xml:space="preserve">В частности, на практике распространены ситуации, когда при предоставлении аналогичных услуг нарушитель незаконно использует товарный знак, знак обслуживания, фирменное наименование, коммерческое обозначение и др., сходное до степени смешения с средством индивидуализации, зарегистрированным за конкурентом. </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Помимо того, что такие действия вводят в заблуждение потребителей услуг, они могут причинить существенные убытки конкуренту нарушителя.</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Рассмотрим характерные примеры.</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b/>
          <w:sz w:val="28"/>
          <w:szCs w:val="28"/>
        </w:rPr>
        <w:t>Пример 1.</w:t>
      </w:r>
      <w:r w:rsidRPr="004436FA">
        <w:rPr>
          <w:rFonts w:ascii="Times New Roman" w:hAnsi="Times New Roman" w:cs="Times New Roman"/>
          <w:sz w:val="28"/>
          <w:szCs w:val="28"/>
        </w:rPr>
        <w:t xml:space="preserve"> На рынке определенных услуг для населения действует АО «Компания А». Данная организация является правообладателем товарного знака «А», который она активно использует в своей деятельности.</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Наряду с указанной организацией на рынке аналогичных услуг ведет деятельность АО «Компания Б», которая обладает меньшей известностью и в целях получении преимущества за счет т.н. «паразитирования» на широко известном товарном знаке «А», начиная с 2011 г., неправомерно использует в своей деятельность сходный до степени смешения товарный знак «А1».</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Учитывая известность и узнаваемость товарного знака «А», рядовые потребители, увидев товарный знак «А1», используемый «Компанией Б», воспринимают ее в качестве подразделения «Компании А», что вызывает смешение между двумя организациями и предоставляет «Компании Б» возможность извлекать выгоду из известности «Компании А» (оказывать услуги потребителям, стремящимся приобрести услуги конкурента).</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В то же время «Компания А» несет убытки, вызванные оттоком 25 % своих клиентов к недобросовестному конкуренту – «Компании Б». В свою очередь потеря существенного количества клиентов привела к пропорциональному снижению прибыли «Компания А» (правая часть диаграммы).</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noProof/>
          <w:sz w:val="28"/>
          <w:szCs w:val="28"/>
        </w:rPr>
        <w:lastRenderedPageBreak/>
        <w:drawing>
          <wp:inline distT="0" distB="0" distL="0" distR="0">
            <wp:extent cx="2628000" cy="3240000"/>
            <wp:effectExtent l="0" t="0" r="20320" b="177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4436FA">
        <w:rPr>
          <w:rFonts w:ascii="Times New Roman" w:hAnsi="Times New Roman" w:cs="Times New Roman"/>
          <w:sz w:val="28"/>
          <w:szCs w:val="28"/>
        </w:rPr>
        <w:t xml:space="preserve"> </w:t>
      </w:r>
      <w:r w:rsidRPr="004436FA">
        <w:rPr>
          <w:rFonts w:ascii="Times New Roman" w:hAnsi="Times New Roman" w:cs="Times New Roman"/>
          <w:noProof/>
          <w:sz w:val="28"/>
          <w:szCs w:val="28"/>
        </w:rPr>
        <w:drawing>
          <wp:inline distT="0" distB="0" distL="0" distR="0">
            <wp:extent cx="2628000" cy="3240000"/>
            <wp:effectExtent l="0" t="0" r="20320" b="17780"/>
            <wp:docPr id="103" name="Chart 10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В результате обращения «Компании А» в антимонопольный орган недобросовестный конкурент признан нарушившим антимонопольное законодательство и с 2012 г. прекращает неправомерное использование товарного знака «А1».</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Согласно обоснованному прогнозу «Компания А» сможет восстановить прежнее количество клиентов и показатели прибыли лишь к началу 2013 г. Образовавшуюся к этому моменту упущенную выгоду «Компания А» может возместить в судебном порядке.</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Расчет упущенной выгоды в данном случае будет выглядеть следующем образом</w:t>
      </w:r>
      <w:r w:rsidRPr="004436FA">
        <w:rPr>
          <w:rFonts w:ascii="Times New Roman" w:hAnsi="Times New Roman" w:cs="Times New Roman"/>
          <w:sz w:val="28"/>
          <w:szCs w:val="28"/>
          <w:vertAlign w:val="superscript"/>
        </w:rPr>
        <w:footnoteReference w:id="39"/>
      </w:r>
      <w:r w:rsidRPr="004436FA">
        <w:rPr>
          <w:rFonts w:ascii="Times New Roman" w:hAnsi="Times New Roman" w:cs="Times New Roman"/>
          <w:sz w:val="28"/>
          <w:szCs w:val="28"/>
        </w:rPr>
        <w:t xml:space="preserve">. </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i/>
          <w:sz w:val="28"/>
          <w:szCs w:val="28"/>
        </w:rPr>
      </w:pPr>
      <w:r w:rsidRPr="004436FA">
        <w:rPr>
          <w:rFonts w:ascii="Times New Roman" w:hAnsi="Times New Roman" w:cs="Times New Roman"/>
          <w:i/>
          <w:sz w:val="28"/>
          <w:szCs w:val="28"/>
        </w:rPr>
        <w:t>Упущенная выгода = (КП</w:t>
      </w:r>
      <w:r w:rsidRPr="004436FA">
        <w:rPr>
          <w:rFonts w:ascii="Times New Roman" w:hAnsi="Times New Roman" w:cs="Times New Roman"/>
          <w:i/>
          <w:sz w:val="28"/>
          <w:szCs w:val="28"/>
          <w:vertAlign w:val="subscript"/>
        </w:rPr>
        <w:t>2011</w:t>
      </w:r>
      <w:r w:rsidRPr="004436FA">
        <w:rPr>
          <w:rFonts w:ascii="Times New Roman" w:hAnsi="Times New Roman" w:cs="Times New Roman"/>
          <w:i/>
          <w:sz w:val="28"/>
          <w:szCs w:val="28"/>
        </w:rPr>
        <w:t xml:space="preserve"> - ФП</w:t>
      </w:r>
      <w:r w:rsidRPr="004436FA">
        <w:rPr>
          <w:rFonts w:ascii="Times New Roman" w:hAnsi="Times New Roman" w:cs="Times New Roman"/>
          <w:i/>
          <w:sz w:val="28"/>
          <w:szCs w:val="28"/>
          <w:vertAlign w:val="subscript"/>
        </w:rPr>
        <w:t>2011</w:t>
      </w:r>
      <w:r w:rsidRPr="004436FA">
        <w:rPr>
          <w:rFonts w:ascii="Times New Roman" w:hAnsi="Times New Roman" w:cs="Times New Roman"/>
          <w:i/>
          <w:sz w:val="28"/>
          <w:szCs w:val="28"/>
        </w:rPr>
        <w:t>) + (КП</w:t>
      </w:r>
      <w:r w:rsidRPr="004436FA">
        <w:rPr>
          <w:rFonts w:ascii="Times New Roman" w:hAnsi="Times New Roman" w:cs="Times New Roman"/>
          <w:i/>
          <w:sz w:val="28"/>
          <w:szCs w:val="28"/>
          <w:vertAlign w:val="subscript"/>
        </w:rPr>
        <w:t>2012</w:t>
      </w:r>
      <w:r w:rsidRPr="004436FA">
        <w:rPr>
          <w:rFonts w:ascii="Times New Roman" w:hAnsi="Times New Roman" w:cs="Times New Roman"/>
          <w:i/>
          <w:sz w:val="28"/>
          <w:szCs w:val="28"/>
        </w:rPr>
        <w:t xml:space="preserve"> – ПП</w:t>
      </w:r>
      <w:r w:rsidRPr="004436FA">
        <w:rPr>
          <w:rFonts w:ascii="Times New Roman" w:hAnsi="Times New Roman" w:cs="Times New Roman"/>
          <w:i/>
          <w:sz w:val="28"/>
          <w:szCs w:val="28"/>
          <w:vertAlign w:val="subscript"/>
        </w:rPr>
        <w:t>2012</w:t>
      </w:r>
      <w:r w:rsidRPr="004436FA">
        <w:rPr>
          <w:rFonts w:ascii="Times New Roman" w:hAnsi="Times New Roman" w:cs="Times New Roman"/>
          <w:i/>
          <w:sz w:val="28"/>
          <w:szCs w:val="28"/>
        </w:rPr>
        <w:t>)</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где:</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 xml:space="preserve">КП – </w:t>
      </w:r>
      <w:proofErr w:type="spellStart"/>
      <w:r w:rsidRPr="004436FA">
        <w:rPr>
          <w:rFonts w:ascii="Times New Roman" w:hAnsi="Times New Roman" w:cs="Times New Roman"/>
          <w:sz w:val="28"/>
          <w:szCs w:val="28"/>
        </w:rPr>
        <w:t>контрфактуальная</w:t>
      </w:r>
      <w:proofErr w:type="spellEnd"/>
      <w:r w:rsidRPr="004436FA">
        <w:rPr>
          <w:rFonts w:ascii="Times New Roman" w:hAnsi="Times New Roman" w:cs="Times New Roman"/>
          <w:sz w:val="28"/>
          <w:szCs w:val="28"/>
        </w:rPr>
        <w:t xml:space="preserve"> прибыль</w:t>
      </w:r>
      <w:r w:rsidRPr="004436FA">
        <w:rPr>
          <w:rFonts w:ascii="Times New Roman" w:hAnsi="Times New Roman" w:cs="Times New Roman"/>
          <w:sz w:val="28"/>
          <w:szCs w:val="28"/>
          <w:vertAlign w:val="superscript"/>
        </w:rPr>
        <w:footnoteReference w:id="40"/>
      </w:r>
      <w:r w:rsidRPr="004436FA">
        <w:rPr>
          <w:rFonts w:ascii="Times New Roman" w:hAnsi="Times New Roman" w:cs="Times New Roman"/>
          <w:sz w:val="28"/>
          <w:szCs w:val="28"/>
        </w:rPr>
        <w:t>, которую АО «Компания А» получило бы в указанных годах при отсутствии нарушения. Данная прибыль должна включать доходы от разумного экономического использования свободных денежных средств компании.</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ФП</w:t>
      </w:r>
      <w:r w:rsidRPr="004436FA">
        <w:rPr>
          <w:rFonts w:ascii="Times New Roman" w:hAnsi="Times New Roman" w:cs="Times New Roman"/>
          <w:sz w:val="28"/>
          <w:szCs w:val="28"/>
          <w:vertAlign w:val="subscript"/>
        </w:rPr>
        <w:t>2011</w:t>
      </w:r>
      <w:r w:rsidRPr="004436FA">
        <w:rPr>
          <w:rFonts w:ascii="Times New Roman" w:hAnsi="Times New Roman" w:cs="Times New Roman"/>
          <w:sz w:val="28"/>
          <w:szCs w:val="28"/>
        </w:rPr>
        <w:t xml:space="preserve"> – фактическая прибыль, полученная АО «Компания А» по итогам 2011 г. Прибыль 2011 г. существенно снизилась по сравнению с 2010 г. в результате противоправных действий недобросовестного конкурента.</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ПП</w:t>
      </w:r>
      <w:r w:rsidRPr="004436FA">
        <w:rPr>
          <w:rFonts w:ascii="Times New Roman" w:hAnsi="Times New Roman" w:cs="Times New Roman"/>
          <w:sz w:val="28"/>
          <w:szCs w:val="28"/>
          <w:vertAlign w:val="subscript"/>
        </w:rPr>
        <w:t>2012</w:t>
      </w:r>
      <w:r w:rsidRPr="004436FA">
        <w:rPr>
          <w:rFonts w:ascii="Times New Roman" w:hAnsi="Times New Roman" w:cs="Times New Roman"/>
          <w:sz w:val="28"/>
          <w:szCs w:val="28"/>
        </w:rPr>
        <w:t xml:space="preserve"> – прогнозная прибыль, которую по обоснованным предварительным прогнозам АО «Компания А» получит в 2012 г.  Предполагается, что, начиная с 2013 г., компания вернется к финансовым показателям, предшествовавшим нарушению со стороны недобросовестного конкурента.</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b/>
          <w:sz w:val="28"/>
          <w:szCs w:val="28"/>
        </w:rPr>
        <w:lastRenderedPageBreak/>
        <w:t>Пример 2.</w:t>
      </w:r>
      <w:r w:rsidRPr="004436FA">
        <w:rPr>
          <w:rFonts w:ascii="Times New Roman" w:hAnsi="Times New Roman"/>
          <w:sz w:val="28"/>
          <w:szCs w:val="28"/>
        </w:rPr>
        <w:t xml:space="preserve"> Стоит также рассмотреть случай недобросовестной конкуренции, связанной с приобретением и использованием исключительного права на товарный знак.</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В 2011 г. АО «Компания А», занимающее 15 % на рынке производства и реализации сувенирной продукции, зарегистрировало за собой широко используемый различными хозяйствующими субъектами товарный знак «</w:t>
      </w:r>
      <w:r w:rsidRPr="004436FA">
        <w:rPr>
          <w:rFonts w:ascii="Times New Roman" w:hAnsi="Times New Roman"/>
          <w:sz w:val="28"/>
          <w:szCs w:val="28"/>
          <w:lang w:val="en-US"/>
        </w:rPr>
        <w:t>N</w:t>
      </w:r>
      <w:r w:rsidRPr="004436FA">
        <w:rPr>
          <w:rFonts w:ascii="Times New Roman" w:hAnsi="Times New Roman"/>
          <w:sz w:val="28"/>
          <w:szCs w:val="28"/>
        </w:rPr>
        <w:t>» и направило конкурентам претензии, в которых требовало заключить с ним договор на право использовать данный товарный знак. В случае невыполнения данного требования «Компания А» обещала судебное преследование и применение предусмотренных законом санкций.</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При этом, как отмечалось, товарный знак «</w:t>
      </w:r>
      <w:r w:rsidRPr="004436FA">
        <w:rPr>
          <w:rFonts w:ascii="Times New Roman" w:hAnsi="Times New Roman"/>
          <w:sz w:val="28"/>
          <w:szCs w:val="28"/>
          <w:lang w:val="en-US"/>
        </w:rPr>
        <w:t>N</w:t>
      </w:r>
      <w:r w:rsidRPr="004436FA">
        <w:rPr>
          <w:rFonts w:ascii="Times New Roman" w:hAnsi="Times New Roman"/>
          <w:sz w:val="28"/>
          <w:szCs w:val="28"/>
        </w:rPr>
        <w:t>» начал использоваться другими субъектами рынка задолго до «Компании А».</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В результате действий «Компании А» ее конкуренты были вынуждены убрать из продажи свою продукцию, маркированную товарным знаком «</w:t>
      </w:r>
      <w:r w:rsidRPr="004436FA">
        <w:rPr>
          <w:rFonts w:ascii="Times New Roman" w:hAnsi="Times New Roman"/>
          <w:sz w:val="28"/>
          <w:szCs w:val="28"/>
          <w:lang w:val="en-US"/>
        </w:rPr>
        <w:t>N</w:t>
      </w:r>
      <w:r w:rsidRPr="004436FA">
        <w:rPr>
          <w:rFonts w:ascii="Times New Roman" w:hAnsi="Times New Roman"/>
          <w:sz w:val="28"/>
          <w:szCs w:val="28"/>
        </w:rPr>
        <w:t>» и были фактически устранены с рынка сувенирной продукции, реализуемой под данным товарным знаком.</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noProof/>
          <w:sz w:val="28"/>
          <w:szCs w:val="28"/>
          <w:lang w:eastAsia="ru-RU"/>
        </w:rPr>
        <w:drawing>
          <wp:inline distT="0" distB="0" distL="0" distR="0">
            <wp:extent cx="2628000" cy="3240000"/>
            <wp:effectExtent l="0" t="0" r="20320" b="17780"/>
            <wp:docPr id="106" name="Chart 106"/>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4436FA">
        <w:rPr>
          <w:rFonts w:ascii="Times New Roman" w:hAnsi="Times New Roman"/>
          <w:sz w:val="28"/>
          <w:szCs w:val="28"/>
        </w:rPr>
        <w:t xml:space="preserve"> </w:t>
      </w:r>
      <w:r w:rsidRPr="004436FA">
        <w:rPr>
          <w:rFonts w:ascii="Times New Roman" w:hAnsi="Times New Roman"/>
          <w:noProof/>
          <w:sz w:val="28"/>
          <w:szCs w:val="28"/>
          <w:lang w:eastAsia="ru-RU"/>
        </w:rPr>
        <w:drawing>
          <wp:inline distT="0" distB="0" distL="0" distR="0">
            <wp:extent cx="2628000" cy="3240000"/>
            <wp:effectExtent l="0" t="0" r="20320" b="17780"/>
            <wp:docPr id="105" name="Chart 105"/>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Один из наиболее крупных хозяйствующих субъектов на данном рынке, АО «Компания</w:t>
      </w:r>
      <w:proofErr w:type="gramStart"/>
      <w:r w:rsidRPr="004436FA">
        <w:rPr>
          <w:rFonts w:ascii="Times New Roman" w:hAnsi="Times New Roman"/>
          <w:sz w:val="28"/>
          <w:szCs w:val="28"/>
        </w:rPr>
        <w:t xml:space="preserve"> Б</w:t>
      </w:r>
      <w:proofErr w:type="gramEnd"/>
      <w:r w:rsidRPr="004436FA">
        <w:rPr>
          <w:rFonts w:ascii="Times New Roman" w:hAnsi="Times New Roman"/>
          <w:sz w:val="28"/>
          <w:szCs w:val="28"/>
        </w:rPr>
        <w:t>», занимающее 40% доли рынка, обратилось с жалобой в антимонопольный орган, в результате  чего АО «Компания А» было признано нарушившим антимонопольное законодательство. Антимонопольный орган предписал нарушителю отозвать претензии в адрес конкурентов, а также направил свое решение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 «</w:t>
      </w:r>
      <w:r w:rsidRPr="004436FA">
        <w:rPr>
          <w:rFonts w:ascii="Times New Roman" w:hAnsi="Times New Roman"/>
          <w:sz w:val="28"/>
          <w:szCs w:val="28"/>
          <w:lang w:val="en-US"/>
        </w:rPr>
        <w:t>N</w:t>
      </w:r>
      <w:r w:rsidRPr="004436FA">
        <w:rPr>
          <w:rFonts w:ascii="Times New Roman" w:hAnsi="Times New Roman"/>
          <w:sz w:val="28"/>
          <w:szCs w:val="28"/>
        </w:rPr>
        <w:t xml:space="preserve">». Препятствия к реализации товара конкурентами были устранены к концу 2011 г. Упущенная выгода АО «Компания Б» в данном случае может быть рассчитана как стоимость использующей спорный товарный знак продукции, которую оно могли реализовать в течение 2011 г. Данная упущенная выгода </w:t>
      </w:r>
      <w:r w:rsidRPr="004436FA">
        <w:rPr>
          <w:rFonts w:ascii="Times New Roman" w:hAnsi="Times New Roman"/>
          <w:sz w:val="28"/>
          <w:szCs w:val="28"/>
        </w:rPr>
        <w:lastRenderedPageBreak/>
        <w:t>также должна учитывать упущенные экономические возможности от использования свободных денежных средств. Например, если АО «Компания Б» может доказать, что в результате потери дохода в 2011 г. оно не смогло осуществить планируемые закупки сувенирной продукции для реализации в последующих периодах и в результате потеряло соответствующую прибыль, то соответствующие потери также должны быть оценены и возмещены.</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Наравне с АО «Компания Б» и другие участники рынка могут предъявить иски к АО «Компания А». При этом ситуация и убытки других участников рынка могут быть отличны от тех, с которыми столкнулось АО «Компания Б».</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p>
    <w:p w:rsidR="00DB066E" w:rsidRDefault="00DB066E" w:rsidP="00DB066E">
      <w:pPr>
        <w:pStyle w:val="2"/>
        <w:spacing w:before="0" w:line="240" w:lineRule="auto"/>
        <w:ind w:firstLine="567"/>
        <w:jc w:val="both"/>
        <w:rPr>
          <w:rFonts w:ascii="Times New Roman" w:hAnsi="Times New Roman"/>
          <w:color w:val="auto"/>
          <w:sz w:val="28"/>
          <w:szCs w:val="28"/>
        </w:rPr>
      </w:pPr>
      <w:bookmarkStart w:id="71" w:name="_Toc487536242"/>
      <w:r w:rsidRPr="004436FA">
        <w:rPr>
          <w:rFonts w:ascii="Times New Roman" w:hAnsi="Times New Roman"/>
          <w:color w:val="auto"/>
          <w:sz w:val="28"/>
          <w:szCs w:val="28"/>
        </w:rPr>
        <w:t>4.3. Оценка убытков для потенциальных конкурентов</w:t>
      </w:r>
      <w:bookmarkEnd w:id="69"/>
      <w:r w:rsidRPr="004436FA">
        <w:rPr>
          <w:rFonts w:ascii="Times New Roman" w:hAnsi="Times New Roman"/>
          <w:color w:val="auto"/>
          <w:sz w:val="28"/>
          <w:szCs w:val="28"/>
        </w:rPr>
        <w:t>.</w:t>
      </w:r>
      <w:bookmarkEnd w:id="71"/>
    </w:p>
    <w:p w:rsidR="00DB066E" w:rsidRPr="00FD219B" w:rsidRDefault="00DB066E" w:rsidP="00DB066E">
      <w:pPr>
        <w:spacing w:after="0" w:line="240" w:lineRule="auto"/>
      </w:pP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Ограничивающие конкуренцию действия, могут оказывать негативные последствия не только на имеющихся, но также и на потенциальных конкурентов. Обычно такие ситуации возникают, когда вход потенциальных конкурентов на рынок был затруднен или предотвращен благодаря нарушению. Основанием для возмещения убытков потенциальному конкуренту должно быть, среди прочего, доказательство того, что он не только планировал (в том числе совершил или начал совершать соответствующие приготовления), но и мог осуществить успешный вход на рынок при отсутствии нарушения.</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Для оценки убытков потенциальных конкурентов применяются те же методы, что и для оценки убытков имеющихся конкурентов, но за следующим исключением. При расчете убытков потенциальных конкурентов сравнение с периодами до и после нарушения не представляется возможным, поскольку данных конкурентов не было на рынке ни до, ни после нарушения. Однако, как и для случая имеющихся конкурентов, для расчета убытков потенциальных конкурентов возможно проведение сравнительного анализа сопоставимых рынков, а также финансовое или экономическое моделирование. Например, основой финансового моделирования может выступать бизнес-план потенциального конкурента, в котором оценивались предполагаемая выручка и затраты при входе на рассматриваемый рынок, если этот бизнес-план был подготовлен до нарушения.</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 xml:space="preserve">Отсутствие данных, например, в части подходящих для анализа сопоставимых рынков, может служить препятствием для оценки полной суммы убытка (например, недополученной прибыли). В таких случаях хозяйствующий субъект может выбрать обращение с иском, направленным лишь на возмещение реального ущерба, связанного с подготовкой к входу на рынок. Например, если потенциальный конкурент понес инвестиционные затраты (осуществил капитальные вложения), но не смог выйти на рынок в силу ограничения конкуренции, то он может выбрать предъявление иска к нарушителю лишь на сумму данных инвестиционных затрат. При этом бремя доказывания того, что такой подход обоснован с экономической точки </w:t>
      </w:r>
      <w:r w:rsidRPr="004436FA">
        <w:rPr>
          <w:rFonts w:ascii="Times New Roman" w:hAnsi="Times New Roman" w:cs="Times New Roman"/>
          <w:sz w:val="28"/>
          <w:szCs w:val="28"/>
        </w:rPr>
        <w:lastRenderedPageBreak/>
        <w:t>зрения и что данные инвестиции полностью окупились бы при отсутствии нарушения, лежит на пострадавшем лице.</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Для наглядной иллюстрации основных принципов расчета убытков, причиненных потенциальным конкурентам, рассмотрим следующий пример.</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b/>
          <w:sz w:val="28"/>
          <w:szCs w:val="28"/>
        </w:rPr>
      </w:pPr>
      <w:r w:rsidRPr="004436FA">
        <w:rPr>
          <w:rFonts w:ascii="Times New Roman" w:hAnsi="Times New Roman" w:cs="Times New Roman"/>
          <w:b/>
          <w:sz w:val="28"/>
          <w:szCs w:val="28"/>
        </w:rPr>
        <w:t>Создание препятствий входа на рынок</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На рынке продукта 1 оперировал один хозяйствующий субъект, АО «Компания А». Дополнительно, АО «Компания Б» рассматривало целесообразность входа на данный рынок. По заказу АО «Компания Б» был подготовлен бизнес-план по входу на рынок со следующими основными заключениями.</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p>
    <w:p w:rsidR="00DB066E" w:rsidRPr="004436FA" w:rsidRDefault="00B850EE" w:rsidP="00DB066E">
      <w:pPr>
        <w:pStyle w:val="RBBBox"/>
        <w:shd w:val="clear" w:color="auto" w:fill="DBE5F1"/>
        <w:spacing w:before="0" w:after="0" w:line="240" w:lineRule="auto"/>
        <w:ind w:firstLine="567"/>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shape id="Text Box 7" o:spid="_x0000_s1114" type="#_x0000_t202" style="width:421.35pt;height:164.8pt;visibility:visible;mso-position-horizontal-relative:char;mso-position-vertical-relative:line" fillcolor="#dbe5f1" stroked="f" strokeweight=".5pt">
            <v:textbox>
              <w:txbxContent>
                <w:tbl>
                  <w:tblPr>
                    <w:tblW w:w="0" w:type="auto"/>
                    <w:jc w:val="center"/>
                    <w:tblBorders>
                      <w:bottom w:val="single" w:sz="4" w:space="0" w:color="000000"/>
                    </w:tblBorders>
                    <w:shd w:val="clear" w:color="auto" w:fill="DBE5F1"/>
                    <w:tblLayout w:type="fixed"/>
                    <w:tblLook w:val="01E0"/>
                  </w:tblPr>
                  <w:tblGrid>
                    <w:gridCol w:w="17"/>
                    <w:gridCol w:w="3068"/>
                    <w:gridCol w:w="17"/>
                    <w:gridCol w:w="3800"/>
                  </w:tblGrid>
                  <w:tr w:rsidR="00DB066E" w:rsidRPr="00F73F4A" w:rsidTr="00920AA6">
                    <w:trPr>
                      <w:jc w:val="center"/>
                    </w:trPr>
                    <w:tc>
                      <w:tcPr>
                        <w:tcW w:w="3085" w:type="dxa"/>
                        <w:gridSpan w:val="2"/>
                        <w:tcBorders>
                          <w:top w:val="double" w:sz="4" w:space="0" w:color="auto"/>
                          <w:bottom w:val="single" w:sz="4" w:space="0" w:color="000000"/>
                        </w:tcBorders>
                        <w:shd w:val="clear" w:color="auto" w:fill="DBE5F1"/>
                        <w:vAlign w:val="bottom"/>
                      </w:tcPr>
                      <w:p w:rsidR="00DB066E" w:rsidRPr="00F73F4A" w:rsidRDefault="00DB066E" w:rsidP="00920AA6">
                        <w:pPr>
                          <w:pStyle w:val="RBBTableCaption"/>
                          <w:keepNext/>
                          <w:shd w:val="clear" w:color="auto" w:fill="DBE5F1"/>
                          <w:autoSpaceDE w:val="0"/>
                          <w:autoSpaceDN w:val="0"/>
                          <w:adjustRightInd w:val="0"/>
                          <w:jc w:val="left"/>
                          <w:rPr>
                            <w:b w:val="0"/>
                          </w:rPr>
                        </w:pPr>
                        <w:r w:rsidRPr="00F73F4A">
                          <w:t>Категория доходов/расходов</w:t>
                        </w:r>
                      </w:p>
                    </w:tc>
                    <w:tc>
                      <w:tcPr>
                        <w:tcW w:w="3817" w:type="dxa"/>
                        <w:gridSpan w:val="2"/>
                        <w:tcBorders>
                          <w:top w:val="double" w:sz="4" w:space="0" w:color="auto"/>
                          <w:bottom w:val="single" w:sz="4" w:space="0" w:color="000000"/>
                        </w:tcBorders>
                        <w:shd w:val="clear" w:color="auto" w:fill="DBE5F1"/>
                        <w:vAlign w:val="bottom"/>
                      </w:tcPr>
                      <w:p w:rsidR="00DB066E" w:rsidRPr="00F73F4A" w:rsidRDefault="00DB066E" w:rsidP="00920AA6">
                        <w:pPr>
                          <w:pStyle w:val="RBBTableheadingright"/>
                          <w:shd w:val="clear" w:color="auto" w:fill="DBE5F1"/>
                        </w:pPr>
                        <w:r w:rsidRPr="00F73F4A">
                          <w:t>Чистая текущая (дисконтируемая) стоимость планируемых доходов/расходов</w:t>
                        </w:r>
                      </w:p>
                    </w:tc>
                  </w:tr>
                  <w:tr w:rsidR="00DB066E" w:rsidRPr="00F73F4A" w:rsidTr="00920AA6">
                    <w:trPr>
                      <w:jc w:val="center"/>
                    </w:trPr>
                    <w:tc>
                      <w:tcPr>
                        <w:tcW w:w="3085" w:type="dxa"/>
                        <w:gridSpan w:val="2"/>
                        <w:tcBorders>
                          <w:top w:val="single" w:sz="4" w:space="0" w:color="000000"/>
                          <w:bottom w:val="dotted" w:sz="2"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Капитальные вложения (инвестиции)</w:t>
                        </w:r>
                      </w:p>
                    </w:tc>
                    <w:tc>
                      <w:tcPr>
                        <w:tcW w:w="3817" w:type="dxa"/>
                        <w:gridSpan w:val="2"/>
                        <w:tcBorders>
                          <w:top w:val="single" w:sz="4" w:space="0" w:color="000000"/>
                          <w:bottom w:val="dotted" w:sz="2" w:space="0" w:color="000000"/>
                        </w:tcBorders>
                        <w:shd w:val="clear" w:color="auto" w:fill="DBE5F1"/>
                        <w:vAlign w:val="bottom"/>
                      </w:tcPr>
                      <w:p w:rsidR="00DB066E" w:rsidRPr="00F73F4A" w:rsidRDefault="00DB066E" w:rsidP="00920AA6">
                        <w:pPr>
                          <w:pStyle w:val="RBBTablenumbers"/>
                          <w:shd w:val="clear" w:color="auto" w:fill="DBE5F1"/>
                        </w:pPr>
                        <w:r w:rsidRPr="00F73F4A">
                          <w:t>(10 млрд. руб.)</w:t>
                        </w:r>
                      </w:p>
                    </w:tc>
                  </w:tr>
                  <w:tr w:rsidR="00DB066E" w:rsidRPr="00F73F4A" w:rsidTr="00920AA6">
                    <w:trPr>
                      <w:jc w:val="center"/>
                    </w:trPr>
                    <w:tc>
                      <w:tcPr>
                        <w:tcW w:w="3085"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Издержки производства (себестоимость за вычетом капитальных затрат)</w:t>
                        </w:r>
                      </w:p>
                    </w:tc>
                    <w:tc>
                      <w:tcPr>
                        <w:tcW w:w="3817"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numbers"/>
                          <w:shd w:val="clear" w:color="auto" w:fill="DBE5F1"/>
                        </w:pPr>
                        <w:r w:rsidRPr="00F73F4A">
                          <w:t>(5 млрд. руб.)</w:t>
                        </w:r>
                      </w:p>
                    </w:tc>
                  </w:tr>
                  <w:tr w:rsidR="00DB066E" w:rsidRPr="00F73F4A" w:rsidTr="00920AA6">
                    <w:trPr>
                      <w:jc w:val="center"/>
                    </w:trPr>
                    <w:tc>
                      <w:tcPr>
                        <w:tcW w:w="3085"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Ожидаемая выручка</w:t>
                        </w:r>
                      </w:p>
                    </w:tc>
                    <w:tc>
                      <w:tcPr>
                        <w:tcW w:w="3817"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numbers"/>
                          <w:shd w:val="clear" w:color="auto" w:fill="DBE5F1"/>
                        </w:pPr>
                        <w:r w:rsidRPr="00F73F4A">
                          <w:t>17 млрд. руб.</w:t>
                        </w:r>
                      </w:p>
                    </w:tc>
                  </w:tr>
                  <w:tr w:rsidR="00DB066E" w:rsidRPr="00F73F4A" w:rsidTr="00920AA6">
                    <w:trPr>
                      <w:gridBefore w:val="1"/>
                      <w:wBefore w:w="17" w:type="dxa"/>
                      <w:trHeight w:val="277"/>
                      <w:jc w:val="center"/>
                    </w:trPr>
                    <w:tc>
                      <w:tcPr>
                        <w:tcW w:w="3085" w:type="dxa"/>
                        <w:gridSpan w:val="2"/>
                        <w:tcBorders>
                          <w:top w:val="dotted" w:sz="2" w:space="0" w:color="000000"/>
                          <w:bottom w:val="single" w:sz="4"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Ожидаемая прибыль</w:t>
                        </w:r>
                      </w:p>
                    </w:tc>
                    <w:tc>
                      <w:tcPr>
                        <w:tcW w:w="3798" w:type="dxa"/>
                        <w:tcBorders>
                          <w:top w:val="dotted" w:sz="2" w:space="0" w:color="000000"/>
                          <w:bottom w:val="single" w:sz="4" w:space="0" w:color="000000"/>
                        </w:tcBorders>
                        <w:shd w:val="clear" w:color="auto" w:fill="DBE5F1"/>
                        <w:vAlign w:val="bottom"/>
                      </w:tcPr>
                      <w:p w:rsidR="00DB066E" w:rsidRPr="00F73F4A" w:rsidRDefault="00DB066E" w:rsidP="00920AA6">
                        <w:pPr>
                          <w:pStyle w:val="RBBTablenumbers"/>
                          <w:shd w:val="clear" w:color="auto" w:fill="DBE5F1"/>
                        </w:pPr>
                        <w:r w:rsidRPr="00F73F4A">
                          <w:t>2 млрд. руб.</w:t>
                        </w:r>
                      </w:p>
                    </w:tc>
                  </w:tr>
                </w:tbl>
                <w:p w:rsidR="00DB066E" w:rsidRDefault="00DB066E" w:rsidP="00DB066E">
                  <w:pPr>
                    <w:shd w:val="clear" w:color="auto" w:fill="DBE5F1"/>
                  </w:pPr>
                </w:p>
              </w:txbxContent>
            </v:textbox>
            <w10:wrap type="none"/>
            <w10:anchorlock/>
          </v:shape>
        </w:pic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АО «Компания Б» приняло решение осуществить вход на рынок и начало строительство нового завода. Строительство было завершено в 2010 г. и обошлось АО «Компания Б» в 10 млрд. руб. Как только строительство завода было завершено и АО «Компания Б» было готово начать поставки продукта 1, АО «Компания А» установило цены на свою продукцию ниже издержек производства. Монопольно низкие цены АО «Компания А» привели к тому, что АО «Компания Б» было вынуждено отменить вход на рынок.</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 xml:space="preserve">Действия АО «Компания А» были признаны незаконными, противоречащими </w:t>
      </w:r>
      <w:r>
        <w:rPr>
          <w:rFonts w:ascii="Times New Roman" w:hAnsi="Times New Roman" w:cs="Times New Roman"/>
          <w:sz w:val="28"/>
          <w:szCs w:val="28"/>
        </w:rPr>
        <w:t xml:space="preserve">антимонопольному </w:t>
      </w:r>
      <w:r w:rsidRPr="004436FA">
        <w:rPr>
          <w:rFonts w:ascii="Times New Roman" w:hAnsi="Times New Roman" w:cs="Times New Roman"/>
          <w:sz w:val="28"/>
          <w:szCs w:val="28"/>
        </w:rPr>
        <w:t>законодательству в 2013 г. К тому времени АО «Компания Б» продало новый завод сторонним лицам за 7 млрд. руб. Соответственно, АО «Компания Б» понесло фактические убытки в размере 3 млрд. руб., вызванные ограничением возможности его входа на рынок. АО «Компания Б» может предъявить иск на полную величину данных убытков. При этом бремя доказывания того, что при отсутствии нарушения инвестиции в 10 млрд. руб. полностью окупились бы, возлагается на истца.</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Представляется, что данная оценка убытков является консервативной, поскольку АО «Компания Б» также понесла убытки в виде недополученной прибыли от продажи продукта (2 млрд. руб.), а также в виде связанных с этим упущенных коммерческих и инвестиционных возможностей в 2010-2013 гг.</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bookmarkStart w:id="72" w:name="_Ref406684916"/>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73" w:name="_Toc487536243"/>
      <w:r w:rsidRPr="004436FA">
        <w:rPr>
          <w:rFonts w:ascii="Times New Roman" w:hAnsi="Times New Roman"/>
          <w:color w:val="auto"/>
          <w:sz w:val="28"/>
          <w:szCs w:val="28"/>
        </w:rPr>
        <w:lastRenderedPageBreak/>
        <w:t>4.4. Оценка убытков для покупателей</w:t>
      </w:r>
      <w:bookmarkEnd w:id="72"/>
      <w:r w:rsidRPr="004436FA">
        <w:rPr>
          <w:rFonts w:ascii="Times New Roman" w:hAnsi="Times New Roman"/>
          <w:color w:val="auto"/>
          <w:sz w:val="28"/>
          <w:szCs w:val="28"/>
        </w:rPr>
        <w:t>.</w:t>
      </w:r>
      <w:bookmarkEnd w:id="73"/>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Конечной целью ограничения конкуренции является увеличение или усиление рыночной власти. Следовательно, в долгосрочном плане ограничение конкуренции может привести либо к более высоким ценам, либо к снижению доступности, более низкому качеству товаров и услуг. Соответственно, ограничение конкуренции может привести к ущемлению интересов потребителей рассматриваемого товара (услуги). Наравне с имеющимися и потенциальными конкурентами нарушителя, покупатели также имеют право на возмещение причиненных им убытков.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При этом ограничение конкуренции может привести к убыткам для покупателей, как с момента начала нарушения, так и позднее. А именно – возможны ситуации, когда покупатели вначале выигрывают в результате нарушения, но несут убытки в последующем. Так, если доминирующий хозяйствующий субъект устанавливает монопольно низкие цены с целью вытеснения конкурентов с рынка и с целью последующего установления монопольно высоких цен, покупатели вначале выиграют, но затем понесут убытки.</w:t>
      </w:r>
    </w:p>
    <w:p w:rsidR="00DB066E"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Если убытки покупателей, которые они несут в результате ограничения конкуренции, вызваны необоснованно высокими ценами, то оценка убытков проводится в соответствии с методами, рассмотренными в разделе 3. Ограничение конкуренции также может привести к снижению доступности товаров и услуг или снижению их качества, что способно причинить убытки потребителям соответствующих товаров и услуг. В той степени, в которой эта характеристика подлежит объективному количественному измерению, общие методы расчета убытков, описанные в разделе 2, бу</w:t>
      </w:r>
      <w:r>
        <w:rPr>
          <w:rFonts w:ascii="Times New Roman" w:hAnsi="Times New Roman" w:cs="Times New Roman"/>
          <w:sz w:val="28"/>
          <w:szCs w:val="28"/>
        </w:rPr>
        <w:t>дут применимы и в данном случае.</w:t>
      </w:r>
    </w:p>
    <w:p w:rsidR="00DB066E" w:rsidRDefault="00DB066E" w:rsidP="00DB066E">
      <w:pPr>
        <w:spacing w:after="0" w:line="240" w:lineRule="auto"/>
        <w:jc w:val="center"/>
        <w:rPr>
          <w:rFonts w:ascii="Times New Roman" w:hAnsi="Times New Roman"/>
          <w:b/>
          <w:sz w:val="28"/>
          <w:szCs w:val="28"/>
        </w:rPr>
      </w:pPr>
      <w:r w:rsidRPr="00255F70">
        <w:rPr>
          <w:rFonts w:ascii="Times New Roman" w:hAnsi="Times New Roman"/>
          <w:b/>
          <w:sz w:val="28"/>
          <w:szCs w:val="28"/>
        </w:rPr>
        <w:t xml:space="preserve">РАЗЪЯСНЕНИЕ </w:t>
      </w:r>
    </w:p>
    <w:p w:rsidR="00DB066E" w:rsidRDefault="00DB066E" w:rsidP="00DB066E">
      <w:pPr>
        <w:spacing w:after="0" w:line="240" w:lineRule="auto"/>
        <w:jc w:val="center"/>
        <w:rPr>
          <w:rFonts w:ascii="Times New Roman" w:hAnsi="Times New Roman"/>
          <w:b/>
          <w:sz w:val="28"/>
          <w:szCs w:val="28"/>
        </w:rPr>
      </w:pPr>
    </w:p>
    <w:p w:rsidR="00DB066E" w:rsidRDefault="00DB066E" w:rsidP="00DB066E">
      <w:pPr>
        <w:spacing w:after="0" w:line="240" w:lineRule="auto"/>
        <w:jc w:val="center"/>
        <w:rPr>
          <w:rFonts w:ascii="Times New Roman" w:hAnsi="Times New Roman"/>
          <w:b/>
          <w:sz w:val="28"/>
          <w:szCs w:val="28"/>
        </w:rPr>
      </w:pPr>
      <w:r w:rsidRPr="007F0985">
        <w:rPr>
          <w:rFonts w:ascii="Times New Roman" w:hAnsi="Times New Roman"/>
          <w:b/>
          <w:sz w:val="28"/>
          <w:szCs w:val="28"/>
        </w:rPr>
        <w:t>«</w:t>
      </w:r>
      <w:r>
        <w:rPr>
          <w:rFonts w:ascii="Times New Roman" w:hAnsi="Times New Roman"/>
          <w:b/>
          <w:sz w:val="28"/>
          <w:szCs w:val="28"/>
        </w:rPr>
        <w:t>О применении положений антимонопольного законодательства в отношении владельцев объектов электроэнергетики, в том числе не соответствующих критериям отнесения владельцев объектов электросетевого хозяйства к территориальным сетевым организациям</w:t>
      </w:r>
      <w:r w:rsidRPr="007F0985">
        <w:rPr>
          <w:rFonts w:ascii="Times New Roman" w:hAnsi="Times New Roman"/>
          <w:b/>
          <w:sz w:val="28"/>
          <w:szCs w:val="28"/>
        </w:rPr>
        <w:t>»</w:t>
      </w:r>
    </w:p>
    <w:p w:rsidR="00DB066E" w:rsidRDefault="00DB066E" w:rsidP="00DB066E">
      <w:pPr>
        <w:spacing w:after="0" w:line="240" w:lineRule="auto"/>
        <w:jc w:val="center"/>
        <w:rPr>
          <w:rFonts w:ascii="Times New Roman" w:hAnsi="Times New Roman"/>
          <w:b/>
          <w:sz w:val="28"/>
          <w:szCs w:val="28"/>
        </w:rPr>
      </w:pPr>
    </w:p>
    <w:p w:rsidR="00DB066E" w:rsidRDefault="00DB066E" w:rsidP="00DB066E">
      <w:pPr>
        <w:spacing w:after="0" w:line="240" w:lineRule="auto"/>
        <w:jc w:val="center"/>
        <w:rPr>
          <w:rFonts w:ascii="Times New Roman" w:hAnsi="Times New Roman"/>
          <w:sz w:val="28"/>
          <w:szCs w:val="28"/>
          <w:u w:val="single"/>
        </w:rPr>
      </w:pPr>
      <w:r w:rsidRPr="00DB026E">
        <w:rPr>
          <w:rFonts w:ascii="Times New Roman" w:hAnsi="Times New Roman"/>
          <w:sz w:val="28"/>
          <w:szCs w:val="28"/>
          <w:u w:val="single"/>
        </w:rPr>
        <w:t>№ 12</w:t>
      </w:r>
    </w:p>
    <w:p w:rsidR="00DB066E" w:rsidRPr="00DB026E" w:rsidRDefault="00DB066E" w:rsidP="00DB066E">
      <w:pPr>
        <w:spacing w:after="0" w:line="240" w:lineRule="auto"/>
        <w:jc w:val="both"/>
        <w:rPr>
          <w:rFonts w:ascii="Times New Roman" w:hAnsi="Times New Roman"/>
          <w:sz w:val="28"/>
          <w:szCs w:val="28"/>
        </w:rPr>
      </w:pPr>
    </w:p>
    <w:p w:rsidR="00DB066E" w:rsidRPr="007F0985" w:rsidRDefault="00DB066E" w:rsidP="00DB066E">
      <w:pPr>
        <w:pStyle w:val="a3"/>
        <w:spacing w:before="0" w:beforeAutospacing="0" w:after="0"/>
        <w:ind w:firstLine="709"/>
        <w:jc w:val="both"/>
        <w:rPr>
          <w:sz w:val="28"/>
          <w:szCs w:val="28"/>
        </w:rPr>
      </w:pPr>
    </w:p>
    <w:p w:rsidR="00DB066E" w:rsidRDefault="00DB066E" w:rsidP="00DB066E">
      <w:pPr>
        <w:pStyle w:val="a3"/>
        <w:spacing w:before="0" w:beforeAutospacing="0" w:after="0"/>
        <w:ind w:firstLine="709"/>
        <w:jc w:val="both"/>
        <w:rPr>
          <w:sz w:val="28"/>
          <w:szCs w:val="28"/>
        </w:rPr>
      </w:pPr>
      <w:r w:rsidRPr="000E36EB">
        <w:rPr>
          <w:sz w:val="28"/>
          <w:szCs w:val="28"/>
        </w:rPr>
        <w:t xml:space="preserve">Настоящие разъяснения </w:t>
      </w:r>
      <w:r>
        <w:rPr>
          <w:sz w:val="28"/>
          <w:szCs w:val="28"/>
        </w:rPr>
        <w:t xml:space="preserve">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его применения в отношении владельцев </w:t>
      </w:r>
      <w:proofErr w:type="spellStart"/>
      <w:r>
        <w:rPr>
          <w:sz w:val="28"/>
          <w:szCs w:val="28"/>
        </w:rPr>
        <w:t>энергопринимающего</w:t>
      </w:r>
      <w:proofErr w:type="spellEnd"/>
      <w:r>
        <w:rPr>
          <w:sz w:val="28"/>
          <w:szCs w:val="28"/>
        </w:rPr>
        <w:t xml:space="preserve"> устройства или объекта электроэнергетики, в том числе не соответствующих критериям отнесения владельцев объектов электросетевого хозяйства к территориальным сетевым организациям, при осуществлении мероприятий </w:t>
      </w:r>
      <w:r>
        <w:rPr>
          <w:sz w:val="28"/>
          <w:szCs w:val="28"/>
        </w:rPr>
        <w:lastRenderedPageBreak/>
        <w:t>по технологическому присоединению и оказанию услуг по передаче электрической энергии.</w:t>
      </w:r>
    </w:p>
    <w:p w:rsidR="00DB066E" w:rsidRPr="000E36EB" w:rsidRDefault="00DB066E" w:rsidP="00DB066E">
      <w:pPr>
        <w:pStyle w:val="a3"/>
        <w:spacing w:before="0" w:beforeAutospacing="0" w:after="0"/>
        <w:ind w:firstLine="709"/>
        <w:jc w:val="both"/>
        <w:rPr>
          <w:sz w:val="28"/>
          <w:szCs w:val="28"/>
        </w:rPr>
      </w:pPr>
    </w:p>
    <w:p w:rsidR="00DB066E" w:rsidRPr="000E36EB" w:rsidRDefault="00DB066E" w:rsidP="00DB066E">
      <w:pPr>
        <w:pStyle w:val="a3"/>
        <w:spacing w:before="0" w:beforeAutospacing="0" w:after="0"/>
        <w:ind w:firstLine="709"/>
        <w:jc w:val="both"/>
        <w:rPr>
          <w:sz w:val="28"/>
          <w:szCs w:val="28"/>
        </w:rPr>
      </w:pPr>
      <w:r w:rsidRPr="000E36EB">
        <w:rPr>
          <w:b/>
          <w:bCs/>
          <w:iCs/>
          <w:sz w:val="28"/>
          <w:szCs w:val="28"/>
        </w:rPr>
        <w:t xml:space="preserve">1. </w:t>
      </w:r>
      <w:r>
        <w:rPr>
          <w:b/>
          <w:bCs/>
          <w:iCs/>
          <w:sz w:val="28"/>
          <w:szCs w:val="28"/>
        </w:rPr>
        <w:t>Владелец объектов электроэнергетики, не соответствующий критериям отнесения к территориальным сетевым организациям, не является сетевой организацией</w:t>
      </w:r>
      <w:r>
        <w:rPr>
          <w:b/>
          <w:bCs/>
          <w:iCs/>
          <w:color w:val="000000"/>
          <w:sz w:val="28"/>
          <w:szCs w:val="28"/>
        </w:rPr>
        <w:t xml:space="preserve"> и не занимает доминирующее положение на рынке оказания услуг по передаче электрической энергии</w:t>
      </w:r>
    </w:p>
    <w:p w:rsidR="00DB066E" w:rsidRDefault="00DB066E" w:rsidP="00DB066E">
      <w:pPr>
        <w:pStyle w:val="a3"/>
        <w:spacing w:before="0" w:beforeAutospacing="0" w:after="0"/>
        <w:ind w:firstLine="567"/>
        <w:jc w:val="both"/>
        <w:rPr>
          <w:sz w:val="28"/>
          <w:szCs w:val="28"/>
        </w:rPr>
      </w:pPr>
      <w:r w:rsidRPr="00ED1189">
        <w:rPr>
          <w:sz w:val="28"/>
          <w:szCs w:val="28"/>
        </w:rPr>
        <w:t>Согласно статье 3 Федерального закона от 26.03.2003 № 35-ФЗ «Об электроэнергетике» (далее — Закон об электроэнергетике) 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законом,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критериям отнесения владельцев объектов электросетевого хозяйства к территориальным сетевым организациям.</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lang w:eastAsia="ru-RU"/>
        </w:rPr>
      </w:pPr>
      <w:r w:rsidRPr="00D6126E">
        <w:rPr>
          <w:rFonts w:ascii="Times New Roman" w:hAnsi="Times New Roman"/>
          <w:sz w:val="28"/>
          <w:szCs w:val="28"/>
        </w:rPr>
        <w:t xml:space="preserve">В соответствии со статьей 4 </w:t>
      </w:r>
      <w:r w:rsidRPr="00A7425D">
        <w:rPr>
          <w:rFonts w:ascii="Times New Roman" w:hAnsi="Times New Roman"/>
          <w:sz w:val="28"/>
          <w:szCs w:val="28"/>
          <w:lang w:eastAsia="ru-RU"/>
        </w:rPr>
        <w:t>Федерального</w:t>
      </w:r>
      <w:r>
        <w:rPr>
          <w:rFonts w:ascii="Times New Roman" w:hAnsi="Times New Roman"/>
          <w:sz w:val="28"/>
          <w:szCs w:val="28"/>
          <w:lang w:eastAsia="ru-RU"/>
        </w:rPr>
        <w:t xml:space="preserve"> закона от 17.08.1995 № 147-ФЗ «О естественных монополиях» (далее – Закон о естественных монополиях) услуги по передаче электрической энергии отнесены к естественно-монопольному виду деятельности.</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Согласно положений статьи 5 Федерального закона от 26.07.2006 № 135-ФЗ «О защите конкуренции» (далее - Закон о защите конкуренции) доминирующим положением признается положение субъекта естественной монополии на товарном рынке, находящемся в состоянии естественной монополии.</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Учитывая изложенное, территориальная сетевая организация занимает доминирующее положение на рынке оказания услуг по передаче электрической энергии.</w:t>
      </w:r>
    </w:p>
    <w:p w:rsidR="00DB066E" w:rsidRPr="00ED1189" w:rsidRDefault="00DB066E" w:rsidP="00DB066E">
      <w:pPr>
        <w:pStyle w:val="a3"/>
        <w:spacing w:before="0" w:beforeAutospacing="0" w:after="0"/>
        <w:ind w:firstLine="567"/>
        <w:jc w:val="both"/>
        <w:rPr>
          <w:sz w:val="28"/>
          <w:szCs w:val="28"/>
        </w:rPr>
      </w:pPr>
      <w:r w:rsidRPr="00ED1189">
        <w:rPr>
          <w:sz w:val="28"/>
          <w:szCs w:val="28"/>
        </w:rPr>
        <w:t>Постановлением Правительства Российской Федерации от 28.02.2015 №</w:t>
      </w:r>
      <w:r>
        <w:rPr>
          <w:sz w:val="28"/>
          <w:szCs w:val="28"/>
        </w:rPr>
        <w:t> </w:t>
      </w:r>
      <w:r w:rsidRPr="00ED1189">
        <w:rPr>
          <w:sz w:val="28"/>
          <w:szCs w:val="28"/>
        </w:rPr>
        <w:t>184 утверждены Критерии отнесения владельцев объектов электросетевого хозяйства к территориальным сетевым организациям (далее — Критерии ТСО).</w:t>
      </w:r>
    </w:p>
    <w:p w:rsidR="00DB066E" w:rsidRPr="00ED1189" w:rsidRDefault="00DB066E" w:rsidP="00DB066E">
      <w:pPr>
        <w:autoSpaceDE w:val="0"/>
        <w:autoSpaceDN w:val="0"/>
        <w:adjustRightInd w:val="0"/>
        <w:spacing w:after="0" w:line="240" w:lineRule="auto"/>
        <w:ind w:firstLine="567"/>
        <w:jc w:val="both"/>
        <w:rPr>
          <w:rFonts w:ascii="Times New Roman" w:hAnsi="Times New Roman"/>
          <w:sz w:val="28"/>
          <w:szCs w:val="28"/>
        </w:rPr>
      </w:pPr>
      <w:r w:rsidRPr="00ED1189">
        <w:rPr>
          <w:rFonts w:ascii="Times New Roman" w:hAnsi="Times New Roman"/>
          <w:sz w:val="28"/>
          <w:szCs w:val="28"/>
        </w:rPr>
        <w:t xml:space="preserve">В соответствии с пунктом 24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29.12.2011 № 1178 (далее – Правила госрегулирования) </w:t>
      </w:r>
      <w:r>
        <w:rPr>
          <w:rFonts w:ascii="Times New Roman" w:hAnsi="Times New Roman"/>
          <w:sz w:val="28"/>
          <w:szCs w:val="28"/>
        </w:rPr>
        <w:t>о</w:t>
      </w:r>
      <w:r w:rsidRPr="00ED1189">
        <w:rPr>
          <w:rFonts w:ascii="Times New Roman" w:hAnsi="Times New Roman"/>
          <w:sz w:val="28"/>
          <w:szCs w:val="28"/>
        </w:rPr>
        <w:t xml:space="preserve">снованием для установления (пересмотра), а также продолжения действия установленной цены (тарифа) на услуги по передаче электрической энергии в отношении юридического лица, владеющего на праве собственности или на ином законном основании объектами электросетевого хозяйства, является его соответствие </w:t>
      </w:r>
      <w:r w:rsidRPr="00ED1189">
        <w:rPr>
          <w:rFonts w:ascii="Times New Roman" w:hAnsi="Times New Roman"/>
          <w:color w:val="0000FF"/>
          <w:sz w:val="28"/>
          <w:szCs w:val="28"/>
        </w:rPr>
        <w:t>критериям</w:t>
      </w:r>
      <w:r w:rsidRPr="00ED1189">
        <w:rPr>
          <w:rFonts w:ascii="Times New Roman" w:hAnsi="Times New Roman"/>
          <w:sz w:val="28"/>
          <w:szCs w:val="28"/>
        </w:rPr>
        <w:t xml:space="preserve"> </w:t>
      </w:r>
      <w:r w:rsidRPr="00ED1189">
        <w:rPr>
          <w:rFonts w:ascii="Times New Roman" w:hAnsi="Times New Roman"/>
          <w:sz w:val="28"/>
          <w:szCs w:val="28"/>
        </w:rPr>
        <w:lastRenderedPageBreak/>
        <w:t>отнесения владельцев объектов электросетевого хозяйства к территориальным сетевым организациям.</w:t>
      </w:r>
    </w:p>
    <w:p w:rsidR="00DB066E" w:rsidRDefault="00DB066E" w:rsidP="00DB066E">
      <w:pPr>
        <w:autoSpaceDE w:val="0"/>
        <w:autoSpaceDN w:val="0"/>
        <w:adjustRightInd w:val="0"/>
        <w:spacing w:after="0" w:line="240" w:lineRule="auto"/>
        <w:ind w:firstLine="567"/>
        <w:jc w:val="both"/>
        <w:rPr>
          <w:rFonts w:ascii="Times New Roman" w:hAnsi="Times New Roman"/>
          <w:sz w:val="28"/>
          <w:szCs w:val="28"/>
        </w:rPr>
      </w:pPr>
      <w:r w:rsidRPr="00ED1189">
        <w:rPr>
          <w:rFonts w:ascii="Times New Roman" w:hAnsi="Times New Roman"/>
          <w:sz w:val="28"/>
          <w:szCs w:val="28"/>
        </w:rPr>
        <w:t xml:space="preserve">В случае выявления несоответствия юридического лица, владеющего объектами электросетевого хозяйства, одному или нескольким </w:t>
      </w:r>
      <w:r w:rsidRPr="00ED1189">
        <w:rPr>
          <w:rFonts w:ascii="Times New Roman" w:hAnsi="Times New Roman"/>
          <w:color w:val="0000FF"/>
          <w:sz w:val="28"/>
          <w:szCs w:val="28"/>
        </w:rPr>
        <w:t>критериям</w:t>
      </w:r>
      <w:r w:rsidRPr="00ED1189">
        <w:rPr>
          <w:rFonts w:ascii="Times New Roman" w:hAnsi="Times New Roman"/>
          <w:sz w:val="28"/>
          <w:szCs w:val="28"/>
        </w:rPr>
        <w:t xml:space="preserve"> отнесения владельцев объектов электросетевого хозяйства к территориальным сетевым организациям орган исполнительной власти субъекта Российской Федерации в области государственного регулирования тарифов направляет такому юридическому лицу уведомление об отсутствии оснований для установления (пересмотра) цены (тарифа) на услуги по передаче электрической энергии (с указанием критериев отнесения владельцев объектов электросетевого хозяйства к территориальным сетевым организациям, которым такое юридическое лицо не соответствует).</w:t>
      </w:r>
    </w:p>
    <w:p w:rsidR="00DB066E" w:rsidRPr="0085003C" w:rsidRDefault="00DB066E" w:rsidP="00DB066E">
      <w:pPr>
        <w:autoSpaceDE w:val="0"/>
        <w:autoSpaceDN w:val="0"/>
        <w:adjustRightInd w:val="0"/>
        <w:spacing w:after="0" w:line="240" w:lineRule="auto"/>
        <w:ind w:firstLine="567"/>
        <w:jc w:val="both"/>
        <w:rPr>
          <w:rFonts w:ascii="Times New Roman" w:hAnsi="Times New Roman"/>
          <w:i/>
          <w:sz w:val="28"/>
          <w:szCs w:val="28"/>
        </w:rPr>
      </w:pPr>
      <w:r>
        <w:rPr>
          <w:rFonts w:ascii="Times New Roman" w:hAnsi="Times New Roman"/>
          <w:sz w:val="28"/>
          <w:szCs w:val="28"/>
        </w:rPr>
        <w:t xml:space="preserve">Таким образом, с момента принятия органом исполнительной власти субъекта Российской Федерации в области регулирования цен (тарифов) решения о несоответствии </w:t>
      </w:r>
      <w:r w:rsidRPr="00ED1189">
        <w:rPr>
          <w:rFonts w:ascii="Times New Roman" w:hAnsi="Times New Roman"/>
          <w:sz w:val="28"/>
          <w:szCs w:val="28"/>
        </w:rPr>
        <w:t xml:space="preserve">юридического лица, владеющего объектами электросетевого хозяйства, одному или нескольким </w:t>
      </w:r>
      <w:r w:rsidRPr="00ED1189">
        <w:rPr>
          <w:rFonts w:ascii="Times New Roman" w:hAnsi="Times New Roman"/>
          <w:color w:val="0000FF"/>
          <w:sz w:val="28"/>
          <w:szCs w:val="28"/>
        </w:rPr>
        <w:t>критериям</w:t>
      </w:r>
      <w:r w:rsidRPr="00ED1189">
        <w:rPr>
          <w:rFonts w:ascii="Times New Roman" w:hAnsi="Times New Roman"/>
          <w:sz w:val="28"/>
          <w:szCs w:val="28"/>
        </w:rPr>
        <w:t xml:space="preserve"> отнесения владельцев объектов электросетевого хозяйства к территориальным сетевым организациям</w:t>
      </w:r>
      <w:r>
        <w:rPr>
          <w:rFonts w:ascii="Times New Roman" w:hAnsi="Times New Roman"/>
          <w:sz w:val="28"/>
          <w:szCs w:val="28"/>
        </w:rPr>
        <w:t xml:space="preserve">, </w:t>
      </w:r>
      <w:r w:rsidRPr="0085003C">
        <w:rPr>
          <w:rFonts w:ascii="Times New Roman" w:hAnsi="Times New Roman"/>
          <w:i/>
          <w:sz w:val="28"/>
          <w:szCs w:val="28"/>
        </w:rPr>
        <w:t>такое юридическое лицо теряет статус сетевой организации и переходит в статус владельца объектов электроэнергетики (владельца объектов электросетевого хозяйства).</w:t>
      </w:r>
    </w:p>
    <w:p w:rsidR="00DB066E" w:rsidRDefault="00DB066E" w:rsidP="00DB066E">
      <w:pPr>
        <w:autoSpaceDE w:val="0"/>
        <w:autoSpaceDN w:val="0"/>
        <w:adjustRightInd w:val="0"/>
        <w:spacing w:after="0" w:line="240" w:lineRule="auto"/>
        <w:ind w:firstLine="567"/>
        <w:jc w:val="both"/>
        <w:rPr>
          <w:rFonts w:ascii="Times New Roman" w:hAnsi="Times New Roman"/>
          <w:sz w:val="28"/>
          <w:szCs w:val="28"/>
        </w:rPr>
      </w:pPr>
      <w:r w:rsidRPr="0087368A">
        <w:rPr>
          <w:rFonts w:ascii="Times New Roman" w:hAnsi="Times New Roman"/>
          <w:sz w:val="28"/>
          <w:szCs w:val="28"/>
        </w:rPr>
        <w:t xml:space="preserve">Указанное означает, что </w:t>
      </w:r>
      <w:r w:rsidRPr="0085003C">
        <w:rPr>
          <w:rFonts w:ascii="Times New Roman" w:hAnsi="Times New Roman"/>
          <w:i/>
          <w:sz w:val="28"/>
          <w:szCs w:val="28"/>
        </w:rPr>
        <w:t>такому юридическому лицу не устанавливается тариф на оказание услуг по передаче электрической энергии</w:t>
      </w:r>
      <w:r>
        <w:rPr>
          <w:rFonts w:ascii="Times New Roman" w:hAnsi="Times New Roman"/>
          <w:i/>
          <w:sz w:val="28"/>
          <w:szCs w:val="28"/>
        </w:rPr>
        <w:t>.</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 xml:space="preserve">Таким образом, в силу положений Закона о естественных монополиях и Закона о защите конкуренции, владелец объектов электроэнергетики, в том числе не соответствующий критериям </w:t>
      </w:r>
      <w:r w:rsidRPr="00ED1189">
        <w:rPr>
          <w:rFonts w:ascii="Times New Roman" w:hAnsi="Times New Roman"/>
          <w:sz w:val="28"/>
          <w:szCs w:val="28"/>
        </w:rPr>
        <w:t>отнесения владельцев объектов электросетевого хозяйства к территориальным сетевым организациям</w:t>
      </w:r>
      <w:r>
        <w:rPr>
          <w:rFonts w:ascii="Times New Roman" w:hAnsi="Times New Roman"/>
          <w:sz w:val="28"/>
          <w:szCs w:val="28"/>
        </w:rPr>
        <w:t>, не является субъектом</w:t>
      </w:r>
      <w:r>
        <w:rPr>
          <w:rFonts w:ascii="Times New Roman" w:hAnsi="Times New Roman"/>
          <w:sz w:val="28"/>
          <w:szCs w:val="28"/>
          <w:lang w:eastAsia="ru-RU"/>
        </w:rPr>
        <w:t xml:space="preserve"> естественной монополии и не занимает доминирующего положения на товарном рынке. К такому лицу не применимы положения статьи 10 Закона о защите конкуренции.</w:t>
      </w:r>
    </w:p>
    <w:p w:rsidR="00DB066E" w:rsidRPr="0087368A" w:rsidRDefault="00DB066E" w:rsidP="00DB066E">
      <w:pPr>
        <w:autoSpaceDE w:val="0"/>
        <w:autoSpaceDN w:val="0"/>
        <w:adjustRightInd w:val="0"/>
        <w:spacing w:after="0" w:line="240" w:lineRule="auto"/>
        <w:ind w:firstLine="567"/>
        <w:jc w:val="both"/>
      </w:pPr>
    </w:p>
    <w:p w:rsidR="00DB066E" w:rsidRPr="000E36EB" w:rsidRDefault="00DB066E" w:rsidP="00DB066E">
      <w:pPr>
        <w:pStyle w:val="a3"/>
        <w:spacing w:before="0" w:beforeAutospacing="0" w:after="0"/>
        <w:ind w:firstLine="709"/>
        <w:jc w:val="both"/>
        <w:rPr>
          <w:sz w:val="28"/>
          <w:szCs w:val="28"/>
        </w:rPr>
      </w:pPr>
      <w:r w:rsidRPr="000E36EB">
        <w:rPr>
          <w:b/>
          <w:bCs/>
          <w:iCs/>
          <w:sz w:val="28"/>
          <w:szCs w:val="28"/>
        </w:rPr>
        <w:t>2.</w:t>
      </w:r>
      <w:r>
        <w:rPr>
          <w:b/>
          <w:bCs/>
          <w:iCs/>
          <w:sz w:val="28"/>
          <w:szCs w:val="28"/>
        </w:rPr>
        <w:t xml:space="preserve"> Право владельцев </w:t>
      </w:r>
      <w:proofErr w:type="spellStart"/>
      <w:r>
        <w:rPr>
          <w:b/>
          <w:bCs/>
          <w:iCs/>
          <w:sz w:val="28"/>
          <w:szCs w:val="28"/>
        </w:rPr>
        <w:t>энергопринимающего</w:t>
      </w:r>
      <w:proofErr w:type="spellEnd"/>
      <w:r>
        <w:rPr>
          <w:b/>
          <w:bCs/>
          <w:iCs/>
          <w:sz w:val="28"/>
          <w:szCs w:val="28"/>
        </w:rPr>
        <w:t xml:space="preserve"> устройства или объекта электроэнергетики осуществлять технологическое присоединение иных лиц к своим объектам</w:t>
      </w:r>
      <w:r w:rsidRPr="000E36EB">
        <w:rPr>
          <w:b/>
          <w:bCs/>
          <w:iCs/>
          <w:sz w:val="28"/>
          <w:szCs w:val="28"/>
        </w:rPr>
        <w:t>.</w:t>
      </w:r>
    </w:p>
    <w:p w:rsidR="00DB066E" w:rsidRPr="0059345A" w:rsidRDefault="00DB066E" w:rsidP="00DB066E">
      <w:pPr>
        <w:pStyle w:val="a3"/>
        <w:spacing w:before="0" w:beforeAutospacing="0" w:after="0"/>
        <w:ind w:firstLine="833"/>
        <w:jc w:val="both"/>
        <w:rPr>
          <w:sz w:val="28"/>
          <w:szCs w:val="28"/>
        </w:rPr>
      </w:pPr>
      <w:r w:rsidRPr="0059345A">
        <w:rPr>
          <w:sz w:val="28"/>
          <w:szCs w:val="28"/>
        </w:rPr>
        <w:t>В соответствии с пунктом 4 статьи 23.1 Закона об электроэнергетике 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DB066E" w:rsidRPr="0059345A" w:rsidRDefault="00DB066E" w:rsidP="00DB066E">
      <w:pPr>
        <w:pStyle w:val="a3"/>
        <w:spacing w:before="0" w:beforeAutospacing="0" w:after="0"/>
        <w:ind w:firstLine="833"/>
        <w:jc w:val="both"/>
        <w:rPr>
          <w:sz w:val="28"/>
          <w:szCs w:val="28"/>
        </w:rPr>
      </w:pPr>
      <w:r w:rsidRPr="0059345A">
        <w:rPr>
          <w:sz w:val="28"/>
          <w:szCs w:val="28"/>
        </w:rPr>
        <w:t>Исходя из изложенного следует, что государственному регулированию подлежит плата за технологическое присоединение к электрическим сетям сетевых организаций.</w:t>
      </w:r>
    </w:p>
    <w:p w:rsidR="00DB066E" w:rsidRPr="0059345A" w:rsidRDefault="00DB066E" w:rsidP="00DB066E">
      <w:pPr>
        <w:pStyle w:val="a3"/>
        <w:spacing w:before="0" w:beforeAutospacing="0" w:after="0"/>
        <w:ind w:firstLine="556"/>
        <w:jc w:val="both"/>
        <w:rPr>
          <w:sz w:val="28"/>
          <w:szCs w:val="28"/>
        </w:rPr>
      </w:pPr>
      <w:r>
        <w:rPr>
          <w:sz w:val="28"/>
          <w:szCs w:val="28"/>
        </w:rPr>
        <w:t>При этом с</w:t>
      </w:r>
      <w:r w:rsidRPr="0059345A">
        <w:rPr>
          <w:sz w:val="28"/>
          <w:szCs w:val="28"/>
        </w:rPr>
        <w:t xml:space="preserve">огласно абзацу 3 пункта 2 статьи 23.2 Закона об электроэнергетике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w:t>
      </w:r>
      <w:r w:rsidRPr="0059345A">
        <w:rPr>
          <w:sz w:val="28"/>
          <w:szCs w:val="28"/>
        </w:rPr>
        <w:lastRenderedPageBreak/>
        <w:t>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w:t>
      </w:r>
      <w:r>
        <w:rPr>
          <w:sz w:val="28"/>
          <w:szCs w:val="28"/>
        </w:rPr>
        <w:t xml:space="preserve"> </w:t>
      </w:r>
      <w:bookmarkStart w:id="74" w:name="_GoBack"/>
      <w:bookmarkEnd w:id="74"/>
      <w:r w:rsidRPr="0059345A">
        <w:rPr>
          <w:sz w:val="28"/>
          <w:szCs w:val="28"/>
        </w:rPr>
        <w:t>в частности с использованием метода сравнения аналогов.</w:t>
      </w:r>
    </w:p>
    <w:p w:rsidR="00DB066E" w:rsidRPr="000F62EB" w:rsidRDefault="00DB066E" w:rsidP="00DB066E">
      <w:pPr>
        <w:pStyle w:val="a3"/>
        <w:spacing w:before="0" w:beforeAutospacing="0" w:after="0"/>
        <w:ind w:firstLine="567"/>
        <w:jc w:val="both"/>
        <w:rPr>
          <w:sz w:val="28"/>
          <w:szCs w:val="28"/>
        </w:rPr>
      </w:pPr>
      <w:r w:rsidRPr="0059345A">
        <w:rPr>
          <w:sz w:val="28"/>
          <w:szCs w:val="28"/>
        </w:rPr>
        <w:t xml:space="preserve">Пунктом 1 статьи 26 Закона об электроэнергетике установлено, что технологическое присоединение к объектам </w:t>
      </w:r>
      <w:proofErr w:type="spellStart"/>
      <w:r w:rsidRPr="0059345A">
        <w:rPr>
          <w:sz w:val="28"/>
          <w:szCs w:val="28"/>
        </w:rPr>
        <w:t>электросетевого</w:t>
      </w:r>
      <w:proofErr w:type="spellEnd"/>
      <w:r w:rsidRPr="0059345A">
        <w:rPr>
          <w:sz w:val="28"/>
          <w:szCs w:val="28"/>
        </w:rPr>
        <w:t xml:space="preserve"> хозяйства </w:t>
      </w:r>
      <w:proofErr w:type="spellStart"/>
      <w:r w:rsidRPr="0059345A">
        <w:rPr>
          <w:sz w:val="28"/>
          <w:szCs w:val="28"/>
        </w:rPr>
        <w:t>энергопринимающих</w:t>
      </w:r>
      <w:proofErr w:type="spellEnd"/>
      <w:r w:rsidRPr="0059345A">
        <w:rPr>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осуществляется в порядке, установленном Правительством Российской Федерации, и носит однократный характер.</w:t>
      </w:r>
    </w:p>
    <w:p w:rsidR="00DB066E" w:rsidRDefault="00DB066E" w:rsidP="00DB066E">
      <w:pPr>
        <w:pStyle w:val="a3"/>
        <w:spacing w:before="0" w:beforeAutospacing="0" w:after="0"/>
        <w:ind w:firstLine="556"/>
        <w:jc w:val="both"/>
        <w:rPr>
          <w:sz w:val="28"/>
          <w:szCs w:val="28"/>
        </w:rPr>
      </w:pPr>
      <w:r w:rsidRPr="0059345A">
        <w:rPr>
          <w:sz w:val="28"/>
          <w:szCs w:val="28"/>
        </w:rPr>
        <w:t xml:space="preserve">Согласно абзацу 2 пункта 4 статьи 26 Закона об электроэнергетике владелец </w:t>
      </w:r>
      <w:proofErr w:type="spellStart"/>
      <w:r w:rsidRPr="0059345A">
        <w:rPr>
          <w:sz w:val="28"/>
          <w:szCs w:val="28"/>
        </w:rPr>
        <w:t>энергопринимающего</w:t>
      </w:r>
      <w:proofErr w:type="spellEnd"/>
      <w:r w:rsidRPr="0059345A">
        <w:rPr>
          <w:sz w:val="28"/>
          <w:szCs w:val="28"/>
        </w:rPr>
        <w:t xml:space="preserve"> устройства или объекта электроэнергетики, ранее технологически присоединенных в надлежащем порядке,</w:t>
      </w:r>
      <w:r w:rsidRPr="0059345A">
        <w:rPr>
          <w:sz w:val="28"/>
          <w:szCs w:val="28"/>
        </w:rPr>
        <w:br/>
        <w:t xml:space="preserve">по согласованию с сетевой организацией </w:t>
      </w:r>
      <w:r w:rsidRPr="0085003C">
        <w:rPr>
          <w:i/>
          <w:sz w:val="28"/>
          <w:szCs w:val="28"/>
        </w:rPr>
        <w:t>вправе</w:t>
      </w:r>
      <w:r w:rsidRPr="0059345A">
        <w:rPr>
          <w:sz w:val="28"/>
          <w:szCs w:val="28"/>
        </w:rPr>
        <w:t xml:space="preserve"> технологически присоединить к принадлежащим ему </w:t>
      </w:r>
      <w:proofErr w:type="spellStart"/>
      <w:r w:rsidRPr="0059345A">
        <w:rPr>
          <w:sz w:val="28"/>
          <w:szCs w:val="28"/>
        </w:rPr>
        <w:t>энергопринимающему</w:t>
      </w:r>
      <w:proofErr w:type="spellEnd"/>
      <w:r w:rsidRPr="0059345A">
        <w:rPr>
          <w:sz w:val="28"/>
          <w:szCs w:val="28"/>
        </w:rPr>
        <w:t xml:space="preserve"> устройству или объекту электроэнергетики </w:t>
      </w:r>
      <w:proofErr w:type="spellStart"/>
      <w:r w:rsidRPr="0059345A">
        <w:rPr>
          <w:sz w:val="28"/>
          <w:szCs w:val="28"/>
        </w:rPr>
        <w:t>энергопринимающее</w:t>
      </w:r>
      <w:proofErr w:type="spellEnd"/>
      <w:r w:rsidRPr="0059345A">
        <w:rPr>
          <w:sz w:val="28"/>
          <w:szCs w:val="28"/>
        </w:rPr>
        <w:t xml:space="preserve">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w:t>
      </w:r>
      <w:proofErr w:type="spellStart"/>
      <w:r w:rsidRPr="0059345A">
        <w:rPr>
          <w:sz w:val="28"/>
          <w:szCs w:val="28"/>
        </w:rPr>
        <w:t>энергопринимающего</w:t>
      </w:r>
      <w:proofErr w:type="spellEnd"/>
      <w:r w:rsidRPr="0059345A">
        <w:rPr>
          <w:sz w:val="28"/>
          <w:szCs w:val="28"/>
        </w:rPr>
        <w:t xml:space="preserve"> устройства или объекта электроэнергетики и владельцем присоединяемых </w:t>
      </w:r>
      <w:proofErr w:type="spellStart"/>
      <w:r w:rsidRPr="0059345A">
        <w:rPr>
          <w:sz w:val="28"/>
          <w:szCs w:val="28"/>
        </w:rPr>
        <w:t>энергопринимающего</w:t>
      </w:r>
      <w:proofErr w:type="spellEnd"/>
      <w:r w:rsidRPr="0059345A">
        <w:rPr>
          <w:sz w:val="28"/>
          <w:szCs w:val="28"/>
        </w:rPr>
        <w:t xml:space="preserve">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w:t>
      </w:r>
      <w:proofErr w:type="spellStart"/>
      <w:r w:rsidRPr="0059345A">
        <w:rPr>
          <w:sz w:val="28"/>
          <w:szCs w:val="28"/>
        </w:rPr>
        <w:t>энергопринимающих</w:t>
      </w:r>
      <w:proofErr w:type="spellEnd"/>
      <w:r w:rsidRPr="0059345A">
        <w:rPr>
          <w:sz w:val="28"/>
          <w:szCs w:val="28"/>
        </w:rPr>
        <w:t xml:space="preserve"> устройств или объектов электроэнергетики. </w:t>
      </w:r>
      <w:r w:rsidRPr="0085003C">
        <w:rPr>
          <w:sz w:val="28"/>
          <w:szCs w:val="28"/>
        </w:rPr>
        <w:t xml:space="preserve">В этом случае между указанным владельцем </w:t>
      </w:r>
      <w:proofErr w:type="spellStart"/>
      <w:r w:rsidRPr="0085003C">
        <w:rPr>
          <w:sz w:val="28"/>
          <w:szCs w:val="28"/>
        </w:rPr>
        <w:t>энергопринимающего</w:t>
      </w:r>
      <w:proofErr w:type="spellEnd"/>
      <w:r w:rsidRPr="0085003C">
        <w:rPr>
          <w:sz w:val="28"/>
          <w:szCs w:val="28"/>
        </w:rPr>
        <w:t xml:space="preserve"> устройства или объекта электроэнергетики и владельцем присоединяемых </w:t>
      </w:r>
      <w:proofErr w:type="spellStart"/>
      <w:r w:rsidRPr="0085003C">
        <w:rPr>
          <w:sz w:val="28"/>
          <w:szCs w:val="28"/>
        </w:rPr>
        <w:t>энергопринимающего</w:t>
      </w:r>
      <w:proofErr w:type="spellEnd"/>
      <w:r w:rsidRPr="0085003C">
        <w:rPr>
          <w:sz w:val="28"/>
          <w:szCs w:val="28"/>
        </w:rPr>
        <w:t xml:space="preserve">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указанной статьи. </w:t>
      </w:r>
      <w:r w:rsidRPr="0059345A">
        <w:rPr>
          <w:sz w:val="28"/>
          <w:szCs w:val="28"/>
        </w:rPr>
        <w:t>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Законом об электроэнергетике для сетевых организаций.</w:t>
      </w:r>
    </w:p>
    <w:p w:rsidR="00DB066E" w:rsidRPr="0085003C" w:rsidRDefault="00DB066E" w:rsidP="00DB066E">
      <w:pPr>
        <w:pStyle w:val="a3"/>
        <w:spacing w:before="0" w:beforeAutospacing="0" w:after="0"/>
        <w:ind w:firstLine="556"/>
        <w:jc w:val="both"/>
        <w:rPr>
          <w:i/>
          <w:sz w:val="28"/>
          <w:szCs w:val="28"/>
        </w:rPr>
      </w:pPr>
      <w:r w:rsidRPr="0085003C">
        <w:rPr>
          <w:i/>
          <w:sz w:val="28"/>
          <w:szCs w:val="28"/>
        </w:rPr>
        <w:t>Указанное означает, что владелец объектов электроэнергетики, в том числе владелец объектов электросетевого хозяйства, не соответствующий критериям отнесения владельцев объектов электросетевого хозяйства к территориальным сетевым организациям, вправе</w:t>
      </w:r>
      <w:r>
        <w:rPr>
          <w:i/>
          <w:sz w:val="28"/>
          <w:szCs w:val="28"/>
        </w:rPr>
        <w:t>, но не обязан</w:t>
      </w:r>
      <w:r w:rsidRPr="0085003C">
        <w:rPr>
          <w:i/>
          <w:sz w:val="28"/>
          <w:szCs w:val="28"/>
        </w:rPr>
        <w:t xml:space="preserve"> осуществлять технологическое присоединение к своим объектам.</w:t>
      </w:r>
    </w:p>
    <w:p w:rsidR="00DB066E" w:rsidRPr="0059345A" w:rsidRDefault="00DB066E" w:rsidP="00DB066E">
      <w:pPr>
        <w:pStyle w:val="a3"/>
        <w:spacing w:before="0" w:beforeAutospacing="0" w:after="0"/>
        <w:ind w:firstLine="556"/>
        <w:jc w:val="both"/>
        <w:rPr>
          <w:sz w:val="28"/>
          <w:szCs w:val="28"/>
        </w:rPr>
      </w:pPr>
      <w:r w:rsidRPr="0059345A">
        <w:rPr>
          <w:sz w:val="28"/>
          <w:szCs w:val="28"/>
        </w:rPr>
        <w:t>Полномочия органов исполнительной власти субъектов Российской Федерации в области государственного регулирования тарифов определяются</w:t>
      </w:r>
      <w:r>
        <w:rPr>
          <w:sz w:val="28"/>
          <w:szCs w:val="28"/>
        </w:rPr>
        <w:t xml:space="preserve"> </w:t>
      </w:r>
      <w:r w:rsidRPr="0059345A">
        <w:rPr>
          <w:sz w:val="28"/>
          <w:szCs w:val="28"/>
        </w:rPr>
        <w:t xml:space="preserve">в соответствии с Типовым положением об органе исполнительной власти субъекта Российской Федерации в области государственного регулирования тарифов, утвержденным постановлением Правительства Российской Федерации от 21.02.2011 № 97. Полномочиями устанавливать плату за технологическое присоединение, </w:t>
      </w:r>
      <w:r w:rsidRPr="0059345A">
        <w:rPr>
          <w:sz w:val="28"/>
          <w:szCs w:val="28"/>
        </w:rPr>
        <w:lastRenderedPageBreak/>
        <w:t>стандартизированные тарифные ставки и ставки за единицу максимальной мощности региональные регулирующие органы наделены только в отношении территориальных сетевых организаций.</w:t>
      </w:r>
    </w:p>
    <w:p w:rsidR="00DB066E" w:rsidRPr="0085003C" w:rsidRDefault="00DB066E" w:rsidP="00DB066E">
      <w:pPr>
        <w:pStyle w:val="a3"/>
        <w:spacing w:before="0" w:beforeAutospacing="0" w:after="0"/>
        <w:ind w:firstLine="556"/>
        <w:jc w:val="both"/>
        <w:rPr>
          <w:i/>
          <w:sz w:val="28"/>
          <w:szCs w:val="28"/>
        </w:rPr>
      </w:pPr>
      <w:r w:rsidRPr="0085003C">
        <w:rPr>
          <w:i/>
          <w:sz w:val="28"/>
          <w:szCs w:val="28"/>
        </w:rPr>
        <w:t>Учитывая изложенное, орган исполнительной власти субъекта Российской Федерации в области регулирования цен (тарифов)не наделен полномочиями и не обязан устанавливать плату за технологическое присоединение</w:t>
      </w:r>
      <w:r>
        <w:rPr>
          <w:i/>
          <w:sz w:val="28"/>
          <w:szCs w:val="28"/>
        </w:rPr>
        <w:t xml:space="preserve"> </w:t>
      </w:r>
      <w:r w:rsidRPr="0085003C">
        <w:rPr>
          <w:i/>
          <w:sz w:val="28"/>
          <w:szCs w:val="28"/>
        </w:rPr>
        <w:t>к электрическим сетям владельцев объектов электросетевого хозяйства,</w:t>
      </w:r>
      <w:r>
        <w:rPr>
          <w:i/>
          <w:sz w:val="28"/>
          <w:szCs w:val="28"/>
        </w:rPr>
        <w:t xml:space="preserve"> </w:t>
      </w:r>
      <w:r w:rsidRPr="0085003C">
        <w:rPr>
          <w:i/>
          <w:sz w:val="28"/>
          <w:szCs w:val="28"/>
        </w:rPr>
        <w:t>не являющихся сетевыми организациями.</w:t>
      </w:r>
    </w:p>
    <w:p w:rsidR="00DB066E" w:rsidRPr="00A7425D" w:rsidRDefault="00DB066E" w:rsidP="00DB066E">
      <w:pPr>
        <w:pStyle w:val="a3"/>
        <w:spacing w:before="0" w:beforeAutospacing="0" w:after="0"/>
        <w:ind w:firstLine="556"/>
        <w:jc w:val="both"/>
        <w:rPr>
          <w:i/>
          <w:sz w:val="28"/>
          <w:szCs w:val="28"/>
        </w:rPr>
      </w:pPr>
      <w:r>
        <w:rPr>
          <w:sz w:val="28"/>
          <w:szCs w:val="28"/>
        </w:rPr>
        <w:t xml:space="preserve">При этом, учитывая положения абзаца 2 пункта 4 статьи 26 Закона об электроэнергетике, </w:t>
      </w:r>
      <w:r w:rsidRPr="0085003C">
        <w:rPr>
          <w:i/>
          <w:sz w:val="28"/>
          <w:szCs w:val="28"/>
        </w:rPr>
        <w:t xml:space="preserve">плата за технологическое присоединение к электрическим сетям владельцев </w:t>
      </w:r>
      <w:proofErr w:type="spellStart"/>
      <w:r w:rsidRPr="0085003C">
        <w:rPr>
          <w:i/>
          <w:sz w:val="28"/>
          <w:szCs w:val="28"/>
        </w:rPr>
        <w:t>энергопринимающих</w:t>
      </w:r>
      <w:proofErr w:type="spellEnd"/>
      <w:r w:rsidRPr="0085003C">
        <w:rPr>
          <w:i/>
          <w:sz w:val="28"/>
          <w:szCs w:val="28"/>
        </w:rPr>
        <w:t xml:space="preserve"> устройств или объектов электроэнергетики</w:t>
      </w:r>
      <w:r>
        <w:rPr>
          <w:i/>
          <w:sz w:val="28"/>
          <w:szCs w:val="28"/>
        </w:rPr>
        <w:t xml:space="preserve"> (в том числе объектов электросетевого хозяйства и объектов по производству электрической энергии)</w:t>
      </w:r>
      <w:r w:rsidRPr="0085003C">
        <w:rPr>
          <w:i/>
          <w:sz w:val="28"/>
          <w:szCs w:val="28"/>
        </w:rPr>
        <w:t xml:space="preserve"> определя</w:t>
      </w:r>
      <w:r>
        <w:rPr>
          <w:i/>
          <w:sz w:val="28"/>
          <w:szCs w:val="28"/>
        </w:rPr>
        <w:t>е</w:t>
      </w:r>
      <w:r w:rsidRPr="0085003C">
        <w:rPr>
          <w:i/>
          <w:sz w:val="28"/>
          <w:szCs w:val="28"/>
        </w:rPr>
        <w:t>тся</w:t>
      </w:r>
      <w:r>
        <w:rPr>
          <w:i/>
          <w:sz w:val="28"/>
          <w:szCs w:val="28"/>
        </w:rPr>
        <w:t xml:space="preserve"> в гражданско-правовом порядке и по соглашению сторон может быть рассчитана исходя из</w:t>
      </w:r>
      <w:r w:rsidRPr="0085003C">
        <w:rPr>
          <w:i/>
          <w:sz w:val="28"/>
          <w:szCs w:val="28"/>
        </w:rPr>
        <w:t xml:space="preserve"> стандартизированны</w:t>
      </w:r>
      <w:r>
        <w:rPr>
          <w:i/>
          <w:sz w:val="28"/>
          <w:szCs w:val="28"/>
        </w:rPr>
        <w:t>х</w:t>
      </w:r>
      <w:r w:rsidRPr="0085003C">
        <w:rPr>
          <w:i/>
          <w:sz w:val="28"/>
          <w:szCs w:val="28"/>
        </w:rPr>
        <w:t xml:space="preserve"> тарифны</w:t>
      </w:r>
      <w:r>
        <w:rPr>
          <w:i/>
          <w:sz w:val="28"/>
          <w:szCs w:val="28"/>
        </w:rPr>
        <w:t xml:space="preserve">х </w:t>
      </w:r>
      <w:r w:rsidRPr="00A7425D">
        <w:rPr>
          <w:i/>
          <w:sz w:val="28"/>
          <w:szCs w:val="28"/>
        </w:rPr>
        <w:t>ставок на технологическое присоединение, устанавливаемых едиными на территории субъекта Российской Федерации.</w:t>
      </w:r>
    </w:p>
    <w:p w:rsidR="00DB066E" w:rsidRPr="00D6126E" w:rsidRDefault="00DB066E" w:rsidP="00DB066E">
      <w:pPr>
        <w:spacing w:after="0" w:line="240" w:lineRule="auto"/>
        <w:ind w:firstLine="556"/>
        <w:jc w:val="both"/>
        <w:rPr>
          <w:sz w:val="28"/>
          <w:szCs w:val="28"/>
        </w:rPr>
      </w:pPr>
      <w:r w:rsidRPr="00D6126E">
        <w:rPr>
          <w:rFonts w:ascii="Times New Roman" w:eastAsia="Times New Roman" w:hAnsi="Times New Roman"/>
          <w:sz w:val="28"/>
          <w:szCs w:val="28"/>
          <w:lang w:eastAsia="ru-RU"/>
        </w:rPr>
        <w:t xml:space="preserve">Так, Верховный Суд Российской Федерации в </w:t>
      </w:r>
      <w:r>
        <w:rPr>
          <w:rFonts w:ascii="Times New Roman" w:eastAsia="Times New Roman" w:hAnsi="Times New Roman"/>
          <w:sz w:val="28"/>
          <w:szCs w:val="28"/>
          <w:lang w:eastAsia="ru-RU"/>
        </w:rPr>
        <w:t>О</w:t>
      </w:r>
      <w:r w:rsidRPr="00D6126E">
        <w:rPr>
          <w:rFonts w:ascii="Times New Roman" w:eastAsia="Times New Roman" w:hAnsi="Times New Roman"/>
          <w:sz w:val="28"/>
          <w:szCs w:val="28"/>
          <w:lang w:eastAsia="ru-RU"/>
        </w:rPr>
        <w:t xml:space="preserve">пределении от 2 февраля 2017 г. </w:t>
      </w:r>
      <w:r>
        <w:rPr>
          <w:rFonts w:ascii="Times New Roman" w:eastAsia="Times New Roman" w:hAnsi="Times New Roman"/>
          <w:sz w:val="28"/>
          <w:szCs w:val="28"/>
          <w:lang w:eastAsia="ru-RU"/>
        </w:rPr>
        <w:t>№</w:t>
      </w:r>
      <w:r w:rsidRPr="00D6126E">
        <w:rPr>
          <w:rFonts w:ascii="Times New Roman" w:eastAsia="Times New Roman" w:hAnsi="Times New Roman"/>
          <w:sz w:val="28"/>
          <w:szCs w:val="28"/>
          <w:lang w:eastAsia="ru-RU"/>
        </w:rPr>
        <w:t xml:space="preserve"> АПЛ16-632 пришел к следующему выводу.  </w:t>
      </w:r>
      <w:r w:rsidRPr="00A7425D">
        <w:rPr>
          <w:rFonts w:ascii="Times New Roman" w:eastAsia="Times New Roman" w:hAnsi="Times New Roman"/>
          <w:sz w:val="28"/>
          <w:szCs w:val="28"/>
          <w:lang w:eastAsia="ru-RU"/>
        </w:rPr>
        <w:t xml:space="preserve">Владелец объектов </w:t>
      </w:r>
      <w:r w:rsidRPr="00D6126E">
        <w:rPr>
          <w:rFonts w:ascii="Times New Roman" w:eastAsia="Times New Roman" w:hAnsi="Times New Roman"/>
          <w:sz w:val="28"/>
          <w:szCs w:val="28"/>
          <w:lang w:eastAsia="ru-RU"/>
        </w:rPr>
        <w:t>электросетевого хозяйства для осуществления</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деятельности по передаче электрической энергии, а также для получения</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соответствующего тарифа на услуги по передаче электрической энергии должен</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соответствовать Критериям. Собственники объектов электросетевого хозяйства, не соответствующие</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Критериям, обязаны нести бремя содержания принадлежащего им имущества в</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соответствии со статьей 210 Гражданского кодекса Российской Федерации</w:t>
      </w:r>
      <w:r>
        <w:rPr>
          <w:rFonts w:ascii="Times New Roman" w:eastAsia="Times New Roman" w:hAnsi="Times New Roman"/>
          <w:sz w:val="28"/>
          <w:szCs w:val="28"/>
          <w:lang w:eastAsia="ru-RU"/>
        </w:rPr>
        <w:t xml:space="preserve"> (далее – ГК РФ)</w:t>
      </w:r>
      <w:r w:rsidRPr="00D6126E">
        <w:rPr>
          <w:rFonts w:ascii="Times New Roman" w:eastAsia="Times New Roman" w:hAnsi="Times New Roman"/>
          <w:sz w:val="28"/>
          <w:szCs w:val="28"/>
          <w:lang w:eastAsia="ru-RU"/>
        </w:rPr>
        <w:t>, а</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 xml:space="preserve">также соблюдать запрет на препятствование </w:t>
      </w:r>
      <w:proofErr w:type="spellStart"/>
      <w:r w:rsidRPr="00D6126E">
        <w:rPr>
          <w:rFonts w:ascii="Times New Roman" w:eastAsia="Times New Roman" w:hAnsi="Times New Roman"/>
          <w:sz w:val="28"/>
          <w:szCs w:val="28"/>
          <w:lang w:eastAsia="ru-RU"/>
        </w:rPr>
        <w:t>перетоку</w:t>
      </w:r>
      <w:proofErr w:type="spellEnd"/>
      <w:r w:rsidRPr="00D6126E">
        <w:rPr>
          <w:rFonts w:ascii="Times New Roman" w:eastAsia="Times New Roman" w:hAnsi="Times New Roman"/>
          <w:sz w:val="28"/>
          <w:szCs w:val="28"/>
          <w:lang w:eastAsia="ru-RU"/>
        </w:rPr>
        <w:t xml:space="preserve"> электрической энергии в</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соответствии с пунктом 6 Правил недискриминационного доступа к услугам по</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передаче электрической энергии и оказанию этих услуг, утвержденных</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постановлением Правительства Российской Федерации от 27 декабря 2004 г.</w:t>
      </w:r>
      <w:r>
        <w:rPr>
          <w:rFonts w:ascii="Times New Roman" w:eastAsia="Times New Roman" w:hAnsi="Times New Roman"/>
          <w:sz w:val="28"/>
          <w:szCs w:val="28"/>
          <w:lang w:eastAsia="ru-RU"/>
        </w:rPr>
        <w:t xml:space="preserve"> № </w:t>
      </w:r>
      <w:r w:rsidRPr="00D6126E">
        <w:rPr>
          <w:rFonts w:ascii="Times New Roman" w:eastAsia="Times New Roman" w:hAnsi="Times New Roman"/>
          <w:sz w:val="28"/>
          <w:szCs w:val="28"/>
          <w:lang w:eastAsia="ru-RU"/>
        </w:rPr>
        <w:t>861.</w:t>
      </w:r>
    </w:p>
    <w:p w:rsidR="00DB066E" w:rsidRDefault="00DB066E" w:rsidP="00DB066E">
      <w:pPr>
        <w:pStyle w:val="a3"/>
        <w:spacing w:before="0" w:beforeAutospacing="0" w:after="0"/>
        <w:ind w:firstLine="556"/>
        <w:jc w:val="both"/>
        <w:rPr>
          <w:sz w:val="28"/>
          <w:szCs w:val="28"/>
        </w:rPr>
      </w:pPr>
      <w:r w:rsidRPr="00A7425D">
        <w:rPr>
          <w:sz w:val="28"/>
          <w:szCs w:val="28"/>
        </w:rPr>
        <w:t xml:space="preserve">Учитывая изложенное, действия </w:t>
      </w:r>
      <w:r w:rsidRPr="00D6126E">
        <w:rPr>
          <w:sz w:val="28"/>
          <w:szCs w:val="28"/>
        </w:rPr>
        <w:t xml:space="preserve">владельцев </w:t>
      </w:r>
      <w:proofErr w:type="spellStart"/>
      <w:r w:rsidRPr="00D6126E">
        <w:rPr>
          <w:sz w:val="28"/>
          <w:szCs w:val="28"/>
        </w:rPr>
        <w:t>энергопринимающих</w:t>
      </w:r>
      <w:proofErr w:type="spellEnd"/>
      <w:r w:rsidRPr="00D6126E">
        <w:rPr>
          <w:sz w:val="28"/>
          <w:szCs w:val="28"/>
        </w:rPr>
        <w:t xml:space="preserve"> устройств или объектов электроэнергетики (в том числе объектов электросетевого хозяйства и объектов по производству электрической энергии)</w:t>
      </w:r>
      <w:r>
        <w:rPr>
          <w:sz w:val="28"/>
          <w:szCs w:val="28"/>
        </w:rPr>
        <w:t xml:space="preserve"> по заключению договоров об осуществлении технологического присоединения и определению платы за такое присоединение </w:t>
      </w:r>
      <w:r w:rsidRPr="00D6126E">
        <w:rPr>
          <w:sz w:val="28"/>
          <w:szCs w:val="28"/>
        </w:rPr>
        <w:t>в гражданско-правовом порядке</w:t>
      </w:r>
      <w:r>
        <w:rPr>
          <w:sz w:val="28"/>
          <w:szCs w:val="28"/>
        </w:rPr>
        <w:t xml:space="preserve">, в том числе </w:t>
      </w:r>
      <w:r w:rsidRPr="00D6126E">
        <w:rPr>
          <w:sz w:val="28"/>
          <w:szCs w:val="28"/>
        </w:rPr>
        <w:t>исходя из стандартизированных тарифных ставок на технологическое присоединение, устанавливаемых едиными на территории субъекта Российской Федерации</w:t>
      </w:r>
      <w:r>
        <w:rPr>
          <w:sz w:val="28"/>
          <w:szCs w:val="28"/>
        </w:rPr>
        <w:t>, не могут содержать признаки нарушения статьи 10 Закона о защите конкуренции.</w:t>
      </w:r>
    </w:p>
    <w:p w:rsidR="00DB066E" w:rsidRPr="00D6126E" w:rsidRDefault="00DB066E" w:rsidP="00DB066E">
      <w:pPr>
        <w:pStyle w:val="a3"/>
        <w:spacing w:before="0" w:beforeAutospacing="0" w:after="0"/>
        <w:ind w:firstLine="556"/>
        <w:jc w:val="both"/>
        <w:rPr>
          <w:sz w:val="28"/>
          <w:szCs w:val="28"/>
        </w:rPr>
      </w:pPr>
    </w:p>
    <w:p w:rsidR="00DB066E" w:rsidRPr="000E36EB" w:rsidRDefault="00DB066E" w:rsidP="00DB066E">
      <w:pPr>
        <w:pStyle w:val="a3"/>
        <w:spacing w:before="0" w:beforeAutospacing="0" w:after="0"/>
        <w:ind w:firstLine="556"/>
        <w:jc w:val="both"/>
        <w:rPr>
          <w:sz w:val="28"/>
          <w:szCs w:val="28"/>
        </w:rPr>
      </w:pPr>
      <w:r w:rsidRPr="000E36EB">
        <w:rPr>
          <w:b/>
          <w:bCs/>
          <w:iCs/>
          <w:color w:val="000000"/>
          <w:sz w:val="28"/>
          <w:szCs w:val="28"/>
        </w:rPr>
        <w:t xml:space="preserve">3. </w:t>
      </w:r>
      <w:r>
        <w:rPr>
          <w:b/>
          <w:bCs/>
          <w:iCs/>
          <w:color w:val="000000"/>
          <w:sz w:val="28"/>
          <w:szCs w:val="28"/>
        </w:rPr>
        <w:t xml:space="preserve">Обязанность владельцев объектов электросетевого хозяйства, </w:t>
      </w:r>
      <w:r>
        <w:rPr>
          <w:b/>
          <w:bCs/>
          <w:iCs/>
          <w:sz w:val="28"/>
          <w:szCs w:val="28"/>
        </w:rPr>
        <w:t xml:space="preserve">не соответствующих критериям отнесения к территориальным сетевым организациям, не </w:t>
      </w:r>
      <w:r w:rsidRPr="000E36EB">
        <w:rPr>
          <w:b/>
          <w:bCs/>
          <w:iCs/>
          <w:sz w:val="28"/>
          <w:szCs w:val="28"/>
        </w:rPr>
        <w:t>препятствова</w:t>
      </w:r>
      <w:r>
        <w:rPr>
          <w:b/>
          <w:bCs/>
          <w:iCs/>
          <w:sz w:val="28"/>
          <w:szCs w:val="28"/>
        </w:rPr>
        <w:t>ть</w:t>
      </w:r>
      <w:r w:rsidRPr="000E36EB">
        <w:rPr>
          <w:b/>
          <w:bCs/>
          <w:iCs/>
          <w:sz w:val="28"/>
          <w:szCs w:val="28"/>
        </w:rPr>
        <w:t xml:space="preserve"> </w:t>
      </w:r>
      <w:proofErr w:type="spellStart"/>
      <w:r w:rsidRPr="000E36EB">
        <w:rPr>
          <w:b/>
          <w:bCs/>
          <w:iCs/>
          <w:sz w:val="28"/>
          <w:szCs w:val="28"/>
        </w:rPr>
        <w:t>перетоку</w:t>
      </w:r>
      <w:proofErr w:type="spellEnd"/>
      <w:r w:rsidRPr="000E36EB">
        <w:rPr>
          <w:b/>
          <w:bCs/>
          <w:iCs/>
          <w:sz w:val="28"/>
          <w:szCs w:val="28"/>
        </w:rPr>
        <w:t xml:space="preserve"> электрической энергии.</w:t>
      </w:r>
    </w:p>
    <w:p w:rsidR="00DB066E" w:rsidRPr="000E36EB" w:rsidRDefault="00DB066E" w:rsidP="00DB066E">
      <w:pPr>
        <w:pStyle w:val="a3"/>
        <w:spacing w:before="0" w:beforeAutospacing="0" w:after="0"/>
        <w:ind w:firstLine="709"/>
        <w:jc w:val="both"/>
        <w:rPr>
          <w:sz w:val="28"/>
          <w:szCs w:val="28"/>
        </w:rPr>
      </w:pPr>
      <w:r w:rsidRPr="000E36EB">
        <w:rPr>
          <w:sz w:val="28"/>
          <w:szCs w:val="28"/>
        </w:rPr>
        <w:lastRenderedPageBreak/>
        <w:t>Согласно статье 210 ГК РФ, собственник несет бремя содержания принадлежащего ему имущества, если иное не предусмотрено законом или договором.</w:t>
      </w:r>
    </w:p>
    <w:p w:rsidR="00DB066E" w:rsidRPr="000E36EB" w:rsidRDefault="00DB066E" w:rsidP="00DB066E">
      <w:pPr>
        <w:pStyle w:val="a3"/>
        <w:spacing w:before="0" w:beforeAutospacing="0" w:after="0"/>
        <w:ind w:firstLine="709"/>
        <w:jc w:val="both"/>
        <w:rPr>
          <w:sz w:val="28"/>
          <w:szCs w:val="28"/>
        </w:rPr>
      </w:pPr>
      <w:r w:rsidRPr="000E36EB">
        <w:rPr>
          <w:sz w:val="28"/>
          <w:szCs w:val="28"/>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w:t>
      </w:r>
      <w:r>
        <w:rPr>
          <w:sz w:val="28"/>
          <w:szCs w:val="28"/>
        </w:rPr>
        <w:t>,</w:t>
      </w:r>
      <w:r w:rsidRPr="000E36EB">
        <w:rPr>
          <w:sz w:val="28"/>
          <w:szCs w:val="28"/>
        </w:rPr>
        <w:t xml:space="preserve">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0E36EB">
        <w:rPr>
          <w:sz w:val="28"/>
          <w:szCs w:val="28"/>
        </w:rPr>
        <w:t>энергопринимающее</w:t>
      </w:r>
      <w:proofErr w:type="spellEnd"/>
      <w:r w:rsidRPr="000E36EB">
        <w:rPr>
          <w:sz w:val="28"/>
          <w:szCs w:val="28"/>
        </w:rPr>
        <w:t xml:space="preserve"> устройство потребителя, не вправе препятствовать </w:t>
      </w:r>
      <w:proofErr w:type="spellStart"/>
      <w:r w:rsidRPr="000E36EB">
        <w:rPr>
          <w:sz w:val="28"/>
          <w:szCs w:val="28"/>
        </w:rPr>
        <w:t>перетоку</w:t>
      </w:r>
      <w:proofErr w:type="spellEnd"/>
      <w:r w:rsidRPr="000E36EB">
        <w:rPr>
          <w:sz w:val="28"/>
          <w:szCs w:val="28"/>
        </w:rPr>
        <w:t xml:space="preserve"> через их объекты электрической энергии для такого потребителя и требовать за это оплату.</w:t>
      </w:r>
    </w:p>
    <w:p w:rsidR="00DB066E" w:rsidRPr="000E36EB" w:rsidRDefault="00DB066E" w:rsidP="00DB066E">
      <w:pPr>
        <w:pStyle w:val="a3"/>
        <w:spacing w:before="0" w:beforeAutospacing="0" w:after="0"/>
        <w:ind w:firstLine="709"/>
        <w:jc w:val="both"/>
        <w:rPr>
          <w:sz w:val="28"/>
          <w:szCs w:val="28"/>
        </w:rPr>
      </w:pPr>
      <w:r w:rsidRPr="000E36EB">
        <w:rPr>
          <w:sz w:val="28"/>
          <w:szCs w:val="28"/>
        </w:rPr>
        <w:t xml:space="preserve">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w:t>
      </w:r>
      <w:proofErr w:type="spellStart"/>
      <w:r w:rsidRPr="000E36EB">
        <w:rPr>
          <w:sz w:val="28"/>
          <w:szCs w:val="28"/>
        </w:rPr>
        <w:t>перетоку</w:t>
      </w:r>
      <w:proofErr w:type="spellEnd"/>
      <w:r w:rsidRPr="000E36EB">
        <w:rPr>
          <w:sz w:val="28"/>
          <w:szCs w:val="28"/>
        </w:rPr>
        <w:t xml:space="preserve"> становится обязанностью лица, владеющего объектами электросетевого хозяйства при определенных условиях, установленных ПНД.</w:t>
      </w:r>
    </w:p>
    <w:p w:rsidR="00DB066E" w:rsidRPr="000E36EB" w:rsidRDefault="00DB066E" w:rsidP="00DB066E">
      <w:pPr>
        <w:pStyle w:val="a3"/>
        <w:spacing w:before="0" w:beforeAutospacing="0" w:after="0"/>
        <w:ind w:firstLine="709"/>
        <w:jc w:val="both"/>
        <w:rPr>
          <w:sz w:val="28"/>
          <w:szCs w:val="28"/>
        </w:rPr>
      </w:pPr>
      <w:r w:rsidRPr="000E36EB">
        <w:rPr>
          <w:sz w:val="28"/>
          <w:szCs w:val="28"/>
        </w:rPr>
        <w:t xml:space="preserve">Вместе с тем, как указано в постановлении Президиума ВАС РФ, опосредованное присоединение, которое в силу положений ПНД обязывает не препятствовать </w:t>
      </w:r>
      <w:proofErr w:type="spellStart"/>
      <w:r w:rsidRPr="000E36EB">
        <w:rPr>
          <w:sz w:val="28"/>
          <w:szCs w:val="28"/>
        </w:rPr>
        <w:t>перетоку</w:t>
      </w:r>
      <w:proofErr w:type="spellEnd"/>
      <w:r w:rsidRPr="000E36EB">
        <w:rPr>
          <w:sz w:val="28"/>
          <w:szCs w:val="28"/>
        </w:rPr>
        <w:t xml:space="preserve"> электроэнергии, не исключает необходимость наличия технологического присоединения.</w:t>
      </w:r>
    </w:p>
    <w:p w:rsidR="00DB066E" w:rsidRPr="00A84D72" w:rsidRDefault="00DB066E" w:rsidP="00DB066E">
      <w:pPr>
        <w:autoSpaceDE w:val="0"/>
        <w:autoSpaceDN w:val="0"/>
        <w:adjustRightInd w:val="0"/>
        <w:spacing w:after="0" w:line="240" w:lineRule="auto"/>
        <w:ind w:firstLine="539"/>
        <w:jc w:val="both"/>
        <w:rPr>
          <w:rFonts w:ascii="Times New Roman" w:hAnsi="Times New Roman"/>
          <w:sz w:val="28"/>
          <w:szCs w:val="28"/>
          <w:lang w:eastAsia="ru-RU"/>
        </w:rPr>
      </w:pPr>
      <w:r w:rsidRPr="00A84D72">
        <w:rPr>
          <w:rFonts w:ascii="Times New Roman" w:hAnsi="Times New Roman"/>
          <w:sz w:val="28"/>
          <w:szCs w:val="28"/>
        </w:rPr>
        <w:t>Согласно абзацу 5 пункта 2 ПНД документами о технологическом присоединении</w:t>
      </w:r>
      <w:r>
        <w:rPr>
          <w:rFonts w:ascii="Times New Roman" w:hAnsi="Times New Roman"/>
          <w:sz w:val="28"/>
          <w:szCs w:val="28"/>
        </w:rPr>
        <w:t xml:space="preserve"> являются документы,</w:t>
      </w:r>
      <w:r w:rsidRPr="00A84D72">
        <w:rPr>
          <w:rFonts w:ascii="Times New Roman" w:hAnsi="Times New Roman"/>
          <w:sz w:val="28"/>
          <w:szCs w:val="28"/>
          <w:lang w:eastAsia="ru-RU"/>
        </w:rPr>
        <w:t xml:space="preserve"> составляемые (составленные) в процессе технологического присоединения (после завершения технологического присоединения) </w:t>
      </w:r>
      <w:proofErr w:type="spellStart"/>
      <w:r w:rsidRPr="00A84D72">
        <w:rPr>
          <w:rFonts w:ascii="Times New Roman" w:hAnsi="Times New Roman"/>
          <w:sz w:val="28"/>
          <w:szCs w:val="28"/>
          <w:lang w:eastAsia="ru-RU"/>
        </w:rPr>
        <w:t>энергопринимающих</w:t>
      </w:r>
      <w:proofErr w:type="spellEnd"/>
      <w:r w:rsidRPr="00A84D72">
        <w:rPr>
          <w:rFonts w:ascii="Times New Roman" w:hAnsi="Times New Roman"/>
          <w:sz w:val="28"/>
          <w:szCs w:val="28"/>
          <w:lang w:eastAsia="ru-RU"/>
        </w:rPr>
        <w:t xml:space="preserve">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DB066E" w:rsidRPr="000E36EB" w:rsidRDefault="00DB066E" w:rsidP="00DB066E">
      <w:pPr>
        <w:pStyle w:val="a3"/>
        <w:spacing w:before="0" w:beforeAutospacing="0" w:after="0"/>
        <w:ind w:firstLine="709"/>
        <w:jc w:val="both"/>
        <w:rPr>
          <w:sz w:val="28"/>
          <w:szCs w:val="28"/>
        </w:rPr>
      </w:pPr>
      <w:r w:rsidRPr="000E36EB">
        <w:rPr>
          <w:sz w:val="28"/>
          <w:szCs w:val="28"/>
        </w:rPr>
        <w:t xml:space="preserve">В соответствии с частью 1 статьи 9.21 </w:t>
      </w:r>
      <w:r>
        <w:rPr>
          <w:sz w:val="28"/>
          <w:szCs w:val="28"/>
        </w:rPr>
        <w:t xml:space="preserve">Кодекса Российской Федерации об административных правонарушениях (далее – </w:t>
      </w:r>
      <w:r w:rsidRPr="000E36EB">
        <w:rPr>
          <w:sz w:val="28"/>
          <w:szCs w:val="28"/>
        </w:rPr>
        <w:t>КоАП</w:t>
      </w:r>
      <w:r>
        <w:rPr>
          <w:sz w:val="28"/>
          <w:szCs w:val="28"/>
        </w:rPr>
        <w:t>)</w:t>
      </w:r>
      <w:r w:rsidRPr="000E36EB">
        <w:rPr>
          <w:sz w:val="28"/>
          <w:szCs w:val="28"/>
        </w:rPr>
        <w:t xml:space="preserve">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DB066E" w:rsidRDefault="00DB066E" w:rsidP="00DB066E">
      <w:pPr>
        <w:pStyle w:val="a3"/>
        <w:spacing w:before="0" w:beforeAutospacing="0" w:after="0"/>
        <w:ind w:firstLine="709"/>
        <w:jc w:val="both"/>
        <w:rPr>
          <w:sz w:val="28"/>
          <w:szCs w:val="28"/>
        </w:rPr>
      </w:pPr>
      <w:r w:rsidRPr="000E36EB">
        <w:rPr>
          <w:sz w:val="28"/>
          <w:szCs w:val="28"/>
        </w:rPr>
        <w:t>Таким образом, в случае если собственник или иной законный владелец объектов электросетевого хозяйства</w:t>
      </w:r>
      <w:r>
        <w:rPr>
          <w:sz w:val="28"/>
          <w:szCs w:val="28"/>
        </w:rPr>
        <w:t>, потерявший статус территориальной сетевой организации в связи с несоответствием Критериям ТСО,</w:t>
      </w:r>
      <w:r w:rsidRPr="000E36EB">
        <w:rPr>
          <w:sz w:val="28"/>
          <w:szCs w:val="28"/>
        </w:rPr>
        <w:t xml:space="preserve"> препятствует </w:t>
      </w:r>
      <w:proofErr w:type="spellStart"/>
      <w:r w:rsidRPr="000E36EB">
        <w:rPr>
          <w:sz w:val="28"/>
          <w:szCs w:val="28"/>
        </w:rPr>
        <w:t>перетоку</w:t>
      </w:r>
      <w:proofErr w:type="spellEnd"/>
      <w:r w:rsidRPr="000E36EB">
        <w:rPr>
          <w:sz w:val="28"/>
          <w:szCs w:val="28"/>
        </w:rPr>
        <w:t xml:space="preserve"> электрической энергии через данные объекты </w:t>
      </w:r>
      <w:r w:rsidRPr="000E36EB">
        <w:rPr>
          <w:sz w:val="28"/>
          <w:szCs w:val="28"/>
        </w:rPr>
        <w:lastRenderedPageBreak/>
        <w:t>электросетевого хозяйства на объекты (</w:t>
      </w:r>
      <w:proofErr w:type="spellStart"/>
      <w:r w:rsidRPr="000E36EB">
        <w:rPr>
          <w:sz w:val="28"/>
          <w:szCs w:val="28"/>
        </w:rPr>
        <w:t>энергопринимающие</w:t>
      </w:r>
      <w:proofErr w:type="spellEnd"/>
      <w:r w:rsidRPr="000E36EB">
        <w:rPr>
          <w:sz w:val="28"/>
          <w:szCs w:val="28"/>
        </w:rPr>
        <w:t xml:space="preserve"> устройства) третьих лиц, присоединенных в надлежащем порядке,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DB066E" w:rsidRPr="00A7425D" w:rsidRDefault="00DB066E" w:rsidP="00DB066E">
      <w:pPr>
        <w:pStyle w:val="a3"/>
        <w:spacing w:before="0" w:beforeAutospacing="0" w:after="0"/>
        <w:ind w:firstLine="709"/>
        <w:jc w:val="both"/>
        <w:rPr>
          <w:sz w:val="28"/>
          <w:szCs w:val="28"/>
        </w:rPr>
      </w:pPr>
      <w:r>
        <w:rPr>
          <w:sz w:val="28"/>
          <w:szCs w:val="28"/>
        </w:rPr>
        <w:t xml:space="preserve">Кроме того, с учетом положений статьи 210 ГК РФ такой </w:t>
      </w:r>
      <w:r w:rsidRPr="000E36EB">
        <w:rPr>
          <w:sz w:val="28"/>
          <w:szCs w:val="28"/>
        </w:rPr>
        <w:t xml:space="preserve">собственник </w:t>
      </w:r>
      <w:r>
        <w:rPr>
          <w:sz w:val="28"/>
          <w:szCs w:val="28"/>
        </w:rPr>
        <w:t xml:space="preserve">объектов электросетевого хозяйства, не соответствующий Критериям ТСО или потерявший таковой статус, </w:t>
      </w:r>
      <w:r w:rsidRPr="000E36EB">
        <w:rPr>
          <w:sz w:val="28"/>
          <w:szCs w:val="28"/>
        </w:rPr>
        <w:t xml:space="preserve">несет бремя содержания принадлежащего </w:t>
      </w:r>
      <w:r w:rsidRPr="00A7425D">
        <w:rPr>
          <w:sz w:val="28"/>
          <w:szCs w:val="28"/>
        </w:rPr>
        <w:t xml:space="preserve">ему имущества в надлежащем состоянии, обеспечивающем </w:t>
      </w:r>
      <w:proofErr w:type="spellStart"/>
      <w:r w:rsidRPr="00A7425D">
        <w:rPr>
          <w:sz w:val="28"/>
          <w:szCs w:val="28"/>
        </w:rPr>
        <w:t>переток</w:t>
      </w:r>
      <w:proofErr w:type="spellEnd"/>
      <w:r w:rsidRPr="00A7425D">
        <w:rPr>
          <w:sz w:val="28"/>
          <w:szCs w:val="28"/>
        </w:rPr>
        <w:t xml:space="preserve"> электрической энергии на объекты иных лиц. При наступлении аварийных ситуаций, собственник имущества должен принять все необходимые действия для их устранения в нормативно установленные сроки. Нарушение таких требований также влечет привлечение к ответственности в соответствии со статьей 9.21 КоАП.</w:t>
      </w:r>
    </w:p>
    <w:p w:rsidR="00DB066E" w:rsidRDefault="00DB066E" w:rsidP="00DB066E">
      <w:pPr>
        <w:spacing w:after="0" w:line="240" w:lineRule="auto"/>
        <w:ind w:firstLine="708"/>
        <w:jc w:val="both"/>
        <w:rPr>
          <w:rFonts w:ascii="Times New Roman" w:eastAsia="Times New Roman" w:hAnsi="Times New Roman"/>
          <w:sz w:val="28"/>
          <w:szCs w:val="28"/>
          <w:lang w:eastAsia="ru-RU"/>
        </w:rPr>
      </w:pPr>
      <w:r w:rsidRPr="00D6126E">
        <w:rPr>
          <w:rFonts w:ascii="Times New Roman" w:eastAsia="Times New Roman" w:hAnsi="Times New Roman"/>
          <w:sz w:val="28"/>
          <w:szCs w:val="28"/>
          <w:lang w:eastAsia="ru-RU"/>
        </w:rPr>
        <w:t>При этом необходимо учитывать позицию ФАС России, изложенную в</w:t>
      </w:r>
      <w:r w:rsidRPr="00DB066E">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 xml:space="preserve">Разъяснениях Президиума ФАС России </w:t>
      </w:r>
      <w:r>
        <w:rPr>
          <w:rFonts w:ascii="Times New Roman" w:eastAsia="Times New Roman" w:hAnsi="Times New Roman"/>
          <w:sz w:val="28"/>
          <w:szCs w:val="28"/>
          <w:lang w:eastAsia="ru-RU"/>
        </w:rPr>
        <w:t>№</w:t>
      </w:r>
      <w:r w:rsidRPr="00D6126E">
        <w:rPr>
          <w:rFonts w:ascii="Times New Roman" w:eastAsia="Times New Roman" w:hAnsi="Times New Roman"/>
          <w:sz w:val="28"/>
          <w:szCs w:val="28"/>
          <w:lang w:eastAsia="ru-RU"/>
        </w:rPr>
        <w:t xml:space="preserve"> 7 «Порядок применения Закона о</w:t>
      </w:r>
      <w:r w:rsidRPr="00DB066E">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защите конкуренции с учетом правил технологического присоединения, правил</w:t>
      </w:r>
      <w:r w:rsidRPr="00DB066E">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недискриминационного доступа, правил подключения и законодательства о</w:t>
      </w:r>
      <w:r w:rsidRPr="00DB066E">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теплоснабжени</w:t>
      </w:r>
      <w:r>
        <w:rPr>
          <w:rFonts w:ascii="Times New Roman" w:eastAsia="Times New Roman" w:hAnsi="Times New Roman"/>
          <w:sz w:val="28"/>
          <w:szCs w:val="28"/>
          <w:lang w:eastAsia="ru-RU"/>
        </w:rPr>
        <w:t>и</w:t>
      </w:r>
      <w:r w:rsidRPr="00D6126E">
        <w:rPr>
          <w:rFonts w:ascii="Times New Roman" w:eastAsia="Times New Roman" w:hAnsi="Times New Roman"/>
          <w:sz w:val="28"/>
          <w:szCs w:val="28"/>
          <w:lang w:eastAsia="ru-RU"/>
        </w:rPr>
        <w:t xml:space="preserve">», утвержденного протоколом Президиума ФАС России от30.11.2016 </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15</w:t>
      </w:r>
      <w:r>
        <w:rPr>
          <w:rFonts w:ascii="Times New Roman" w:eastAsia="Times New Roman" w:hAnsi="Times New Roman"/>
          <w:sz w:val="28"/>
          <w:szCs w:val="28"/>
          <w:lang w:eastAsia="ru-RU"/>
        </w:rPr>
        <w:t>.</w:t>
      </w:r>
    </w:p>
    <w:p w:rsidR="00DB066E" w:rsidRDefault="00DB066E" w:rsidP="00DB066E">
      <w:pPr>
        <w:pStyle w:val="RBBBodytext"/>
        <w:spacing w:before="0" w:after="0" w:line="240" w:lineRule="auto"/>
        <w:ind w:firstLine="709"/>
        <w:rPr>
          <w:rFonts w:ascii="Times New Roman" w:hAnsi="Times New Roman" w:cs="Times New Roman"/>
          <w:sz w:val="28"/>
          <w:szCs w:val="28"/>
        </w:rPr>
      </w:pPr>
    </w:p>
    <w:p w:rsidR="00B243F6" w:rsidRPr="00B243F6" w:rsidRDefault="00B243F6" w:rsidP="00B243F6">
      <w:pPr>
        <w:pStyle w:val="a3"/>
        <w:spacing w:before="0" w:beforeAutospacing="0" w:after="0"/>
        <w:jc w:val="both"/>
        <w:rPr>
          <w:sz w:val="28"/>
          <w:szCs w:val="28"/>
        </w:rPr>
      </w:pPr>
    </w:p>
    <w:p w:rsidR="00B243F6" w:rsidRPr="00B243F6" w:rsidRDefault="00B243F6" w:rsidP="00B243F6">
      <w:pPr>
        <w:keepNext/>
        <w:spacing w:after="0" w:line="240" w:lineRule="auto"/>
        <w:ind w:firstLine="709"/>
        <w:jc w:val="both"/>
        <w:rPr>
          <w:rFonts w:ascii="Times New Roman" w:eastAsia="MS Gothic" w:hAnsi="Times New Roman" w:cs="Times New Roman"/>
          <w:b/>
          <w:bCs/>
          <w:iCs/>
          <w:sz w:val="28"/>
          <w:szCs w:val="28"/>
          <w:lang w:eastAsia="ar-SA"/>
        </w:rPr>
      </w:pPr>
      <w:bookmarkStart w:id="75" w:name="_Toc487453732"/>
      <w:bookmarkStart w:id="76" w:name="_Toc487453859"/>
      <w:bookmarkStart w:id="77" w:name="_Toc487488266"/>
      <w:bookmarkStart w:id="78" w:name="_Toc487488499"/>
      <w:bookmarkStart w:id="79" w:name="_Toc487657897"/>
      <w:bookmarkStart w:id="80" w:name="_Toc489368942"/>
      <w:bookmarkStart w:id="81" w:name="_Toc489369044"/>
      <w:r w:rsidRPr="00B243F6">
        <w:rPr>
          <w:rFonts w:ascii="Times New Roman" w:eastAsia="MS Gothic" w:hAnsi="Times New Roman" w:cs="Times New Roman"/>
          <w:b/>
          <w:bCs/>
          <w:iCs/>
          <w:sz w:val="28"/>
          <w:szCs w:val="28"/>
          <w:lang w:eastAsia="ar-SA"/>
        </w:rPr>
        <w:t>Обзор решений Апелляционной коллегии ФАС России</w:t>
      </w:r>
      <w:bookmarkEnd w:id="75"/>
      <w:bookmarkEnd w:id="76"/>
      <w:bookmarkEnd w:id="77"/>
      <w:bookmarkEnd w:id="78"/>
      <w:bookmarkEnd w:id="79"/>
      <w:bookmarkEnd w:id="80"/>
      <w:bookmarkEnd w:id="81"/>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w:t>
      </w:r>
      <w:proofErr w:type="spellStart"/>
      <w:r w:rsidRPr="00B243F6">
        <w:rPr>
          <w:rFonts w:ascii="Times New Roman" w:eastAsia="Times New Roman" w:hAnsi="Times New Roman" w:cs="Times New Roman"/>
          <w:b/>
          <w:sz w:val="28"/>
          <w:szCs w:val="28"/>
        </w:rPr>
        <w:t>Башкортостанского</w:t>
      </w:r>
      <w:proofErr w:type="spellEnd"/>
      <w:r w:rsidRPr="00B243F6">
        <w:rPr>
          <w:rFonts w:ascii="Times New Roman" w:eastAsia="Times New Roman" w:hAnsi="Times New Roman" w:cs="Times New Roman"/>
          <w:b/>
          <w:sz w:val="28"/>
          <w:szCs w:val="28"/>
        </w:rPr>
        <w:t xml:space="preserve"> УФАС России), в соответствии с которым, Министерство </w:t>
      </w:r>
      <w:proofErr w:type="spellStart"/>
      <w:r w:rsidRPr="00B243F6">
        <w:rPr>
          <w:rFonts w:ascii="Times New Roman" w:eastAsia="Times New Roman" w:hAnsi="Times New Roman" w:cs="Times New Roman"/>
          <w:b/>
          <w:sz w:val="28"/>
          <w:szCs w:val="28"/>
        </w:rPr>
        <w:t>жилищно</w:t>
      </w:r>
      <w:proofErr w:type="spellEnd"/>
      <w:r w:rsidRPr="00B243F6">
        <w:rPr>
          <w:rFonts w:ascii="Times New Roman" w:eastAsia="Times New Roman" w:hAnsi="Times New Roman" w:cs="Times New Roman"/>
          <w:b/>
          <w:sz w:val="28"/>
          <w:szCs w:val="28"/>
        </w:rPr>
        <w:t xml:space="preserve">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решении </w:t>
      </w:r>
      <w:proofErr w:type="spellStart"/>
      <w:r w:rsidRPr="00B243F6">
        <w:rPr>
          <w:rFonts w:ascii="Times New Roman" w:eastAsia="Times New Roman" w:hAnsi="Times New Roman" w:cs="Times New Roman"/>
          <w:sz w:val="28"/>
          <w:szCs w:val="28"/>
        </w:rPr>
        <w:t>Башкортостанского</w:t>
      </w:r>
      <w:proofErr w:type="spellEnd"/>
      <w:r w:rsidRPr="00B243F6">
        <w:rPr>
          <w:rFonts w:ascii="Times New Roman" w:eastAsia="Times New Roman" w:hAnsi="Times New Roman" w:cs="Times New Roman"/>
          <w:sz w:val="28"/>
          <w:szCs w:val="28"/>
        </w:rPr>
        <w:t xml:space="preserve"> УФАС России сделан вывод о том, что в результате заключения антиконкурентного соглашения, заключенного между Министерством жилищно-коммунального хозяйства Республики Башкортостан, тремя управляющими компаниями, ООО «</w:t>
      </w:r>
      <w:proofErr w:type="spellStart"/>
      <w:r w:rsidRPr="00B243F6">
        <w:rPr>
          <w:rFonts w:ascii="Times New Roman" w:eastAsia="Times New Roman" w:hAnsi="Times New Roman" w:cs="Times New Roman"/>
          <w:sz w:val="28"/>
          <w:szCs w:val="28"/>
        </w:rPr>
        <w:t>УфаЛифт</w:t>
      </w:r>
      <w:proofErr w:type="spellEnd"/>
      <w:r w:rsidRPr="00B243F6">
        <w:rPr>
          <w:rFonts w:ascii="Times New Roman" w:eastAsia="Times New Roman" w:hAnsi="Times New Roman" w:cs="Times New Roman"/>
          <w:sz w:val="28"/>
          <w:szCs w:val="28"/>
        </w:rPr>
        <w:t xml:space="preserve">»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w:t>
      </w:r>
      <w:r w:rsidRPr="00B243F6">
        <w:rPr>
          <w:rFonts w:ascii="Times New Roman" w:eastAsia="Times New Roman" w:hAnsi="Times New Roman" w:cs="Times New Roman"/>
          <w:sz w:val="28"/>
          <w:szCs w:val="28"/>
        </w:rPr>
        <w:lastRenderedPageBreak/>
        <w:t>комплексное обслуживание лифтов, направленные в адрес ООО «Уфа Лифт Плюс» от управляющих компаний.</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рамках данного дела Президиумом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color w:val="000000"/>
          <w:sz w:val="28"/>
          <w:szCs w:val="28"/>
          <w:shd w:val="clear" w:color="auto" w:fill="FFFFFF"/>
        </w:rPr>
      </w:pPr>
      <w:r w:rsidRPr="00B243F6">
        <w:rPr>
          <w:rFonts w:ascii="Times New Roman" w:eastAsia="Times New Roman" w:hAnsi="Times New Roman" w:cs="Times New Roman"/>
          <w:b/>
          <w:sz w:val="28"/>
          <w:szCs w:val="28"/>
        </w:rPr>
        <w:t xml:space="preserve">2. Апелляционной коллегией была рассмотрена жалоба ПАО «ТНС </w:t>
      </w:r>
      <w:proofErr w:type="spellStart"/>
      <w:r w:rsidRPr="00B243F6">
        <w:rPr>
          <w:rFonts w:ascii="Times New Roman" w:eastAsia="Times New Roman" w:hAnsi="Times New Roman" w:cs="Times New Roman"/>
          <w:b/>
          <w:sz w:val="28"/>
          <w:szCs w:val="28"/>
        </w:rPr>
        <w:t>энерго</w:t>
      </w:r>
      <w:proofErr w:type="spellEnd"/>
      <w:r w:rsidRPr="00B243F6">
        <w:rPr>
          <w:rFonts w:ascii="Times New Roman" w:eastAsia="Times New Roman" w:hAnsi="Times New Roman" w:cs="Times New Roman"/>
          <w:b/>
          <w:sz w:val="28"/>
          <w:szCs w:val="28"/>
        </w:rPr>
        <w:t xml:space="preserve">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w:t>
      </w:r>
      <w:r w:rsidRPr="00B243F6">
        <w:rPr>
          <w:rFonts w:ascii="Times New Roman" w:eastAsia="Times New Roman" w:hAnsi="Times New Roman" w:cs="Times New Roman"/>
          <w:b/>
          <w:sz w:val="28"/>
          <w:szCs w:val="28"/>
          <w:shd w:val="clear" w:color="auto" w:fill="FFFFFF"/>
        </w:rPr>
        <w:t xml:space="preserve"> соответствии с которым ПАО «ТНС </w:t>
      </w:r>
      <w:proofErr w:type="spellStart"/>
      <w:r w:rsidRPr="00B243F6">
        <w:rPr>
          <w:rFonts w:ascii="Times New Roman" w:eastAsia="Times New Roman" w:hAnsi="Times New Roman" w:cs="Times New Roman"/>
          <w:b/>
          <w:sz w:val="28"/>
          <w:szCs w:val="28"/>
          <w:shd w:val="clear" w:color="auto" w:fill="FFFFFF"/>
        </w:rPr>
        <w:t>энерго</w:t>
      </w:r>
      <w:proofErr w:type="spellEnd"/>
      <w:r w:rsidRPr="00B243F6">
        <w:rPr>
          <w:rFonts w:ascii="Times New Roman" w:eastAsia="Times New Roman" w:hAnsi="Times New Roman" w:cs="Times New Roman"/>
          <w:b/>
          <w:sz w:val="28"/>
          <w:szCs w:val="28"/>
          <w:shd w:val="clear" w:color="auto" w:fill="FFFFFF"/>
        </w:rPr>
        <w:t xml:space="preserve"> Ростов-на-Дону» признано нарушившим часть 1 статьи 10 Закона о защите конкуренции в результате </w:t>
      </w:r>
      <w:r w:rsidRPr="00B243F6">
        <w:rPr>
          <w:rFonts w:ascii="Times New Roman" w:eastAsia="Times New Roman" w:hAnsi="Times New Roman" w:cs="Times New Roman"/>
          <w:b/>
          <w:color w:val="000000"/>
          <w:sz w:val="28"/>
          <w:szCs w:val="28"/>
          <w:shd w:val="clear" w:color="auto" w:fill="FFFFFF"/>
        </w:rPr>
        <w:t xml:space="preserve">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w:t>
      </w:r>
      <w:proofErr w:type="spellStart"/>
      <w:r w:rsidRPr="00B243F6">
        <w:rPr>
          <w:rFonts w:ascii="Times New Roman" w:eastAsia="Times New Roman" w:hAnsi="Times New Roman" w:cs="Times New Roman"/>
          <w:b/>
          <w:color w:val="000000"/>
          <w:sz w:val="28"/>
          <w:szCs w:val="28"/>
          <w:shd w:val="clear" w:color="auto" w:fill="FFFFFF"/>
        </w:rPr>
        <w:t>энерго</w:t>
      </w:r>
      <w:proofErr w:type="spellEnd"/>
      <w:r w:rsidRPr="00B243F6">
        <w:rPr>
          <w:rFonts w:ascii="Times New Roman" w:eastAsia="Times New Roman" w:hAnsi="Times New Roman" w:cs="Times New Roman"/>
          <w:b/>
          <w:color w:val="000000"/>
          <w:sz w:val="28"/>
          <w:szCs w:val="28"/>
          <w:shd w:val="clear" w:color="auto" w:fill="FFFFFF"/>
        </w:rPr>
        <w:t xml:space="preserve"> Ростов-на-Дону» данным потребителям объема электроэнергии, потребленной на общедомовые нужды.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shd w:val="clear" w:color="auto" w:fill="FFFFFF"/>
          <w:lang w:eastAsia="ru-RU"/>
        </w:rPr>
        <w:t xml:space="preserve">Комиссией Ростовского УФАС России установлено, что </w:t>
      </w:r>
      <w:r w:rsidRPr="00B243F6">
        <w:rPr>
          <w:rFonts w:ascii="Times New Roman" w:eastAsia="MS Mincho" w:hAnsi="Times New Roman" w:cs="Times New Roman"/>
          <w:sz w:val="28"/>
          <w:szCs w:val="28"/>
          <w:lang w:eastAsia="ru-RU"/>
        </w:rPr>
        <w:t xml:space="preserve">с октября 2013 года ПАО «ТНС </w:t>
      </w:r>
      <w:proofErr w:type="spellStart"/>
      <w:r w:rsidRPr="00B243F6">
        <w:rPr>
          <w:rFonts w:ascii="Times New Roman" w:eastAsia="MS Mincho" w:hAnsi="Times New Roman" w:cs="Times New Roman"/>
          <w:sz w:val="28"/>
          <w:szCs w:val="28"/>
          <w:lang w:eastAsia="ru-RU"/>
        </w:rPr>
        <w:t>энерго</w:t>
      </w:r>
      <w:proofErr w:type="spellEnd"/>
      <w:r w:rsidRPr="00B243F6">
        <w:rPr>
          <w:rFonts w:ascii="Times New Roman" w:eastAsia="MS Mincho" w:hAnsi="Times New Roman" w:cs="Times New Roman"/>
          <w:sz w:val="28"/>
          <w:szCs w:val="28"/>
          <w:lang w:eastAsia="ru-RU"/>
        </w:rPr>
        <w:t xml:space="preserve">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w:t>
      </w:r>
      <w:r w:rsidRPr="00B243F6">
        <w:rPr>
          <w:rFonts w:ascii="Times New Roman" w:eastAsia="MS Mincho" w:hAnsi="Times New Roman" w:cs="Times New Roman"/>
          <w:color w:val="000000"/>
          <w:sz w:val="28"/>
          <w:szCs w:val="28"/>
          <w:shd w:val="clear" w:color="auto" w:fill="FFFFFF"/>
          <w:lang w:eastAsia="ru-RU"/>
        </w:rPr>
        <w:t xml:space="preserve">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w:t>
      </w:r>
      <w:r w:rsidRPr="00B243F6">
        <w:rPr>
          <w:rFonts w:ascii="Times New Roman" w:eastAsia="MS Mincho" w:hAnsi="Times New Roman" w:cs="Times New Roman"/>
          <w:color w:val="000000"/>
          <w:sz w:val="28"/>
          <w:szCs w:val="28"/>
          <w:shd w:val="clear" w:color="auto" w:fill="FFFFFF"/>
          <w:lang w:eastAsia="ru-RU"/>
        </w:rPr>
        <w:lastRenderedPageBreak/>
        <w:t>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ПАО «ТНС </w:t>
      </w:r>
      <w:proofErr w:type="spellStart"/>
      <w:r w:rsidRPr="00B243F6">
        <w:rPr>
          <w:rFonts w:ascii="Times New Roman" w:eastAsia="Times New Roman" w:hAnsi="Times New Roman" w:cs="Times New Roman"/>
          <w:color w:val="000000"/>
          <w:sz w:val="28"/>
          <w:szCs w:val="28"/>
          <w:shd w:val="clear" w:color="auto" w:fill="FFFFFF"/>
        </w:rPr>
        <w:t>энерго</w:t>
      </w:r>
      <w:proofErr w:type="spellEnd"/>
      <w:r w:rsidRPr="00B243F6">
        <w:rPr>
          <w:rFonts w:ascii="Times New Roman" w:eastAsia="Times New Roman" w:hAnsi="Times New Roman" w:cs="Times New Roman"/>
          <w:color w:val="000000"/>
          <w:sz w:val="28"/>
          <w:szCs w:val="28"/>
          <w:shd w:val="clear" w:color="auto" w:fill="FFFFFF"/>
        </w:rPr>
        <w:t xml:space="preserve">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 рамках указанного дела Апелляционной коллегией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xml:space="preserve">Возможность прямой оплаты собственниками (нанимателями) помещений МКД </w:t>
      </w:r>
      <w:proofErr w:type="spellStart"/>
      <w:r w:rsidRPr="00B243F6">
        <w:rPr>
          <w:rFonts w:ascii="Times New Roman" w:eastAsia="MS Mincho" w:hAnsi="Times New Roman" w:cs="Times New Roman"/>
          <w:sz w:val="28"/>
          <w:szCs w:val="28"/>
          <w:lang w:eastAsia="ru-RU"/>
        </w:rPr>
        <w:t>ресурсоснабжающим</w:t>
      </w:r>
      <w:proofErr w:type="spellEnd"/>
      <w:r w:rsidRPr="00B243F6">
        <w:rPr>
          <w:rFonts w:ascii="Times New Roman" w:eastAsia="MS Mincho" w:hAnsi="Times New Roman" w:cs="Times New Roman"/>
          <w:sz w:val="28"/>
          <w:szCs w:val="28"/>
          <w:lang w:eastAsia="ru-RU"/>
        </w:rPr>
        <w:t xml:space="preserve">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w:t>
      </w:r>
      <w:proofErr w:type="spellStart"/>
      <w:r w:rsidRPr="00B243F6">
        <w:rPr>
          <w:rFonts w:ascii="Times New Roman" w:eastAsia="MS Mincho" w:hAnsi="Times New Roman" w:cs="Times New Roman"/>
          <w:sz w:val="28"/>
          <w:szCs w:val="28"/>
          <w:lang w:eastAsia="ru-RU"/>
        </w:rPr>
        <w:t>ресурсоснабжающим</w:t>
      </w:r>
      <w:proofErr w:type="spellEnd"/>
      <w:r w:rsidRPr="00B243F6">
        <w:rPr>
          <w:rFonts w:ascii="Times New Roman" w:eastAsia="MS Mincho" w:hAnsi="Times New Roman" w:cs="Times New Roman"/>
          <w:sz w:val="28"/>
          <w:szCs w:val="28"/>
          <w:lang w:eastAsia="ru-RU"/>
        </w:rPr>
        <w:t xml:space="preserve"> организациям (часть 7.1 статьи 155 ЖК РФ), не предусмотрена законом.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color w:val="000000"/>
          <w:sz w:val="28"/>
          <w:szCs w:val="28"/>
          <w:shd w:val="clear" w:color="auto" w:fill="FFFFFF"/>
        </w:rPr>
        <w:t xml:space="preserve">3. </w:t>
      </w:r>
      <w:r w:rsidRPr="00B243F6">
        <w:rPr>
          <w:rFonts w:ascii="Times New Roman" w:eastAsia="Times New Roman" w:hAnsi="Times New Roman" w:cs="Times New Roman"/>
          <w:b/>
          <w:sz w:val="28"/>
          <w:szCs w:val="28"/>
        </w:rPr>
        <w:t>Апелляционной коллегией была рассмотрена жалоба ООО «</w:t>
      </w:r>
      <w:proofErr w:type="spellStart"/>
      <w:r w:rsidRPr="00B243F6">
        <w:rPr>
          <w:rFonts w:ascii="Times New Roman" w:eastAsia="Times New Roman" w:hAnsi="Times New Roman" w:cs="Times New Roman"/>
          <w:b/>
          <w:sz w:val="28"/>
          <w:szCs w:val="28"/>
        </w:rPr>
        <w:t>Уренгойдорстрой</w:t>
      </w:r>
      <w:proofErr w:type="spellEnd"/>
      <w:r w:rsidRPr="00B243F6">
        <w:rPr>
          <w:rFonts w:ascii="Times New Roman" w:eastAsia="Times New Roman" w:hAnsi="Times New Roman" w:cs="Times New Roman"/>
          <w:b/>
          <w:sz w:val="28"/>
          <w:szCs w:val="28"/>
        </w:rPr>
        <w:t>» на решение Управления Федеральной антимонопольной службы по Пермскому краю от 21.04.2016 по делу № 811-15-А (далее — Решение Пермского УФАС России).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w:t>
      </w:r>
      <w:proofErr w:type="spellStart"/>
      <w:r w:rsidRPr="00B243F6">
        <w:rPr>
          <w:rFonts w:ascii="Times New Roman" w:eastAsia="Times New Roman" w:hAnsi="Times New Roman" w:cs="Times New Roman"/>
          <w:color w:val="000000"/>
          <w:sz w:val="28"/>
          <w:szCs w:val="28"/>
        </w:rPr>
        <w:t>Уренгойдорстрой</w:t>
      </w:r>
      <w:proofErr w:type="spellEnd"/>
      <w:r w:rsidRPr="00B243F6">
        <w:rPr>
          <w:rFonts w:ascii="Times New Roman" w:eastAsia="Times New Roman" w:hAnsi="Times New Roman" w:cs="Times New Roman"/>
          <w:color w:val="000000"/>
          <w:sz w:val="28"/>
          <w:szCs w:val="28"/>
        </w:rPr>
        <w:t xml:space="preserve">»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w:t>
      </w:r>
      <w:r w:rsidRPr="00B243F6">
        <w:rPr>
          <w:rFonts w:ascii="Times New Roman" w:eastAsia="Times New Roman" w:hAnsi="Times New Roman" w:cs="Times New Roman"/>
          <w:color w:val="000000"/>
          <w:sz w:val="28"/>
          <w:szCs w:val="28"/>
        </w:rPr>
        <w:lastRenderedPageBreak/>
        <w:t>УФАС России указанным хозяйствующим субъектам были выданы предписания.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ООО «</w:t>
      </w:r>
      <w:proofErr w:type="spellStart"/>
      <w:r w:rsidRPr="00B243F6">
        <w:rPr>
          <w:rFonts w:ascii="Times New Roman" w:eastAsia="Times New Roman" w:hAnsi="Times New Roman" w:cs="Times New Roman"/>
          <w:color w:val="000000"/>
          <w:sz w:val="28"/>
          <w:szCs w:val="28"/>
          <w:shd w:val="clear" w:color="auto" w:fill="FFFFFF"/>
        </w:rPr>
        <w:t>Уренгойдорстрой</w:t>
      </w:r>
      <w:proofErr w:type="spellEnd"/>
      <w:r w:rsidRPr="00B243F6">
        <w:rPr>
          <w:rFonts w:ascii="Times New Roman" w:eastAsia="Times New Roman" w:hAnsi="Times New Roman" w:cs="Times New Roman"/>
          <w:color w:val="000000"/>
          <w:sz w:val="28"/>
          <w:szCs w:val="28"/>
          <w:shd w:val="clear" w:color="auto" w:fill="FFFFFF"/>
        </w:rPr>
        <w:t>» на решение Управления Федеральной антимонопольной службы по Пермскому краю от 21.04.2016 по делу № 811-15-А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1. Установленное в рамках рассмотрения дела поведение ответчиков при проведении торгов, а именно, отсутствие предложений ООО «</w:t>
      </w:r>
      <w:proofErr w:type="spellStart"/>
      <w:r w:rsidRPr="00B243F6">
        <w:rPr>
          <w:rFonts w:ascii="Times New Roman" w:eastAsia="MS Mincho" w:hAnsi="Times New Roman" w:cs="Times New Roman"/>
          <w:color w:val="000000"/>
          <w:sz w:val="28"/>
          <w:szCs w:val="28"/>
          <w:lang w:eastAsia="ru-RU"/>
        </w:rPr>
        <w:t>Уренгойдорстрой</w:t>
      </w:r>
      <w:proofErr w:type="spellEnd"/>
      <w:r w:rsidRPr="00B243F6">
        <w:rPr>
          <w:rFonts w:ascii="Times New Roman" w:eastAsia="MS Mincho" w:hAnsi="Times New Roman" w:cs="Times New Roman"/>
          <w:color w:val="000000"/>
          <w:sz w:val="28"/>
          <w:szCs w:val="28"/>
          <w:lang w:eastAsia="ru-RU"/>
        </w:rPr>
        <w:t>»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антиконкурентного соглашения, целью которого было заключение контракта по максимальной цене.</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2. Из представленных самими ответчиками расчетов следует, что для ООО «</w:t>
      </w:r>
      <w:proofErr w:type="spellStart"/>
      <w:r w:rsidRPr="00B243F6">
        <w:rPr>
          <w:rFonts w:ascii="Times New Roman" w:eastAsia="MS Mincho" w:hAnsi="Times New Roman" w:cs="Times New Roman"/>
          <w:color w:val="000000"/>
          <w:sz w:val="28"/>
          <w:szCs w:val="28"/>
          <w:lang w:eastAsia="ru-RU"/>
        </w:rPr>
        <w:t>Уренгойдорстрой</w:t>
      </w:r>
      <w:proofErr w:type="spellEnd"/>
      <w:r w:rsidRPr="00B243F6">
        <w:rPr>
          <w:rFonts w:ascii="Times New Roman" w:eastAsia="MS Mincho" w:hAnsi="Times New Roman" w:cs="Times New Roman"/>
          <w:color w:val="000000"/>
          <w:sz w:val="28"/>
          <w:szCs w:val="28"/>
          <w:lang w:eastAsia="ru-RU"/>
        </w:rPr>
        <w:t>»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 xml:space="preserve">4. Апелляционная коллегия рассмотрела жалобу </w:t>
      </w:r>
      <w:proofErr w:type="spellStart"/>
      <w:r w:rsidRPr="00B243F6">
        <w:rPr>
          <w:rFonts w:ascii="Times New Roman" w:eastAsia="MS Mincho" w:hAnsi="Times New Roman" w:cs="Times New Roman"/>
          <w:b/>
          <w:sz w:val="28"/>
          <w:szCs w:val="28"/>
          <w:lang w:eastAsia="ru-RU"/>
        </w:rPr>
        <w:t>Зюзько</w:t>
      </w:r>
      <w:proofErr w:type="spellEnd"/>
      <w:r w:rsidRPr="00B243F6">
        <w:rPr>
          <w:rFonts w:ascii="Times New Roman" w:eastAsia="MS Mincho" w:hAnsi="Times New Roman" w:cs="Times New Roman"/>
          <w:b/>
          <w:sz w:val="28"/>
          <w:szCs w:val="28"/>
          <w:lang w:eastAsia="ru-RU"/>
        </w:rPr>
        <w:t xml:space="preserve">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xml:space="preserve">Решением Псковского УФАС России </w:t>
      </w:r>
      <w:proofErr w:type="spellStart"/>
      <w:r w:rsidRPr="00B243F6">
        <w:rPr>
          <w:rFonts w:ascii="Times New Roman" w:eastAsia="MS Mincho" w:hAnsi="Times New Roman" w:cs="Times New Roman"/>
          <w:sz w:val="28"/>
          <w:szCs w:val="28"/>
          <w:lang w:eastAsia="ru-RU"/>
        </w:rPr>
        <w:t>Зюзько</w:t>
      </w:r>
      <w:proofErr w:type="spellEnd"/>
      <w:r w:rsidRPr="00B243F6">
        <w:rPr>
          <w:rFonts w:ascii="Times New Roman" w:eastAsia="MS Mincho" w:hAnsi="Times New Roman" w:cs="Times New Roman"/>
          <w:sz w:val="28"/>
          <w:szCs w:val="28"/>
          <w:lang w:eastAsia="ru-RU"/>
        </w:rPr>
        <w:t xml:space="preserve"> М.Б. был признан нарушившим пункт 1, 2 части 1 статьи 17 Закона о защите конкуренции путем заключения соглашения между организатором торгов </w:t>
      </w:r>
      <w:proofErr w:type="spellStart"/>
      <w:r w:rsidRPr="00B243F6">
        <w:rPr>
          <w:rFonts w:ascii="Times New Roman" w:eastAsia="MS Mincho" w:hAnsi="Times New Roman" w:cs="Times New Roman"/>
          <w:sz w:val="28"/>
          <w:szCs w:val="28"/>
          <w:lang w:eastAsia="ru-RU"/>
        </w:rPr>
        <w:t>Кучеровым</w:t>
      </w:r>
      <w:proofErr w:type="spellEnd"/>
      <w:r w:rsidRPr="00B243F6">
        <w:rPr>
          <w:rFonts w:ascii="Times New Roman" w:eastAsia="MS Mincho" w:hAnsi="Times New Roman" w:cs="Times New Roman"/>
          <w:sz w:val="28"/>
          <w:szCs w:val="28"/>
          <w:lang w:eastAsia="ru-RU"/>
        </w:rPr>
        <w:t xml:space="preserve">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lastRenderedPageBreak/>
        <w:t xml:space="preserve">По итогам рассмотрения жалобы </w:t>
      </w:r>
      <w:proofErr w:type="spellStart"/>
      <w:r w:rsidRPr="00B243F6">
        <w:rPr>
          <w:rFonts w:ascii="Times New Roman" w:eastAsia="Times New Roman" w:hAnsi="Times New Roman" w:cs="Times New Roman"/>
          <w:color w:val="000000"/>
          <w:sz w:val="28"/>
          <w:szCs w:val="28"/>
          <w:shd w:val="clear" w:color="auto" w:fill="FFFFFF"/>
        </w:rPr>
        <w:t>Зюзько</w:t>
      </w:r>
      <w:proofErr w:type="spellEnd"/>
      <w:r w:rsidRPr="00B243F6">
        <w:rPr>
          <w:rFonts w:ascii="Times New Roman" w:eastAsia="Times New Roman" w:hAnsi="Times New Roman" w:cs="Times New Roman"/>
          <w:color w:val="000000"/>
          <w:sz w:val="28"/>
          <w:szCs w:val="28"/>
          <w:shd w:val="clear" w:color="auto" w:fill="FFFFFF"/>
        </w:rPr>
        <w:t xml:space="preserve">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«1. Признать действия конкурсного управляющего ООО «Карбон» </w:t>
      </w:r>
      <w:proofErr w:type="spellStart"/>
      <w:r w:rsidRPr="00B243F6">
        <w:rPr>
          <w:rFonts w:ascii="Times New Roman" w:eastAsia="Times New Roman" w:hAnsi="Times New Roman" w:cs="Times New Roman"/>
          <w:color w:val="000000"/>
          <w:sz w:val="28"/>
          <w:szCs w:val="28"/>
          <w:shd w:val="clear" w:color="auto" w:fill="FFFFFF"/>
        </w:rPr>
        <w:t>Кучерова</w:t>
      </w:r>
      <w:proofErr w:type="spellEnd"/>
      <w:r w:rsidRPr="00B243F6">
        <w:rPr>
          <w:rFonts w:ascii="Times New Roman" w:eastAsia="Times New Roman" w:hAnsi="Times New Roman" w:cs="Times New Roman"/>
          <w:color w:val="000000"/>
          <w:sz w:val="28"/>
          <w:szCs w:val="28"/>
          <w:shd w:val="clear" w:color="auto" w:fill="FFFFFF"/>
        </w:rPr>
        <w:t xml:space="preserve">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w:t>
      </w:r>
      <w:proofErr w:type="spellStart"/>
      <w:r w:rsidRPr="00B243F6">
        <w:rPr>
          <w:rFonts w:ascii="Times New Roman" w:eastAsia="Times New Roman" w:hAnsi="Times New Roman" w:cs="Times New Roman"/>
          <w:color w:val="000000"/>
          <w:sz w:val="28"/>
          <w:szCs w:val="28"/>
          <w:shd w:val="clear" w:color="auto" w:fill="FFFFFF"/>
        </w:rPr>
        <w:t>Зюзько</w:t>
      </w:r>
      <w:proofErr w:type="spellEnd"/>
      <w:r w:rsidRPr="00B243F6">
        <w:rPr>
          <w:rFonts w:ascii="Times New Roman" w:eastAsia="Times New Roman" w:hAnsi="Times New Roman" w:cs="Times New Roman"/>
          <w:color w:val="000000"/>
          <w:sz w:val="28"/>
          <w:szCs w:val="28"/>
          <w:shd w:val="clear" w:color="auto" w:fill="FFFFFF"/>
        </w:rPr>
        <w:t xml:space="preserve"> М.Б. преимущественных условий участия в торгах.</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3. Направить исковое заявление в Арбитражный суд Псковской области о признании торгов недействительными.»</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color w:val="000000"/>
          <w:sz w:val="28"/>
          <w:szCs w:val="28"/>
          <w:lang w:eastAsia="ru-RU"/>
        </w:rPr>
        <w:t xml:space="preserve">1.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является конкурсным управляющим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на основании решения Арбитражного суда Псковской области от 03.04.2015 по делу № А52-178/2015.</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Соответственно,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входит в группу лиц с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по пункту 2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Единственным учредителем предприятия-должника ООО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Согласно выписки из ЕГРЮЛ от 16.02.2016 учредителями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являются Крылов Владислав Ильич и </w:t>
      </w:r>
      <w:proofErr w:type="spellStart"/>
      <w:r w:rsidRPr="00B243F6">
        <w:rPr>
          <w:rFonts w:ascii="Times New Roman" w:eastAsia="MS Mincho" w:hAnsi="Times New Roman" w:cs="Times New Roman"/>
          <w:sz w:val="28"/>
          <w:szCs w:val="28"/>
          <w:shd w:val="clear" w:color="auto" w:fill="FFFFFF"/>
          <w:lang w:eastAsia="ru-RU"/>
        </w:rPr>
        <w:t>Гринь</w:t>
      </w:r>
      <w:proofErr w:type="spellEnd"/>
      <w:r w:rsidRPr="00B243F6">
        <w:rPr>
          <w:rFonts w:ascii="Times New Roman" w:eastAsia="MS Mincho" w:hAnsi="Times New Roman" w:cs="Times New Roman"/>
          <w:sz w:val="28"/>
          <w:szCs w:val="28"/>
          <w:shd w:val="clear" w:color="auto" w:fill="FFFFFF"/>
          <w:lang w:eastAsia="ru-RU"/>
        </w:rPr>
        <w:t xml:space="preserve"> Николай Михайлович (Крылов В.И. — 50%, </w:t>
      </w:r>
      <w:proofErr w:type="spellStart"/>
      <w:r w:rsidRPr="00B243F6">
        <w:rPr>
          <w:rFonts w:ascii="Times New Roman" w:eastAsia="MS Mincho" w:hAnsi="Times New Roman" w:cs="Times New Roman"/>
          <w:sz w:val="28"/>
          <w:szCs w:val="28"/>
          <w:shd w:val="clear" w:color="auto" w:fill="FFFFFF"/>
          <w:lang w:eastAsia="ru-RU"/>
        </w:rPr>
        <w:t>Гринь</w:t>
      </w:r>
      <w:proofErr w:type="spellEnd"/>
      <w:r w:rsidRPr="00B243F6">
        <w:rPr>
          <w:rFonts w:ascii="Times New Roman" w:eastAsia="MS Mincho" w:hAnsi="Times New Roman" w:cs="Times New Roman"/>
          <w:sz w:val="28"/>
          <w:szCs w:val="28"/>
          <w:shd w:val="clear" w:color="auto" w:fill="FFFFFF"/>
          <w:lang w:eastAsia="ru-RU"/>
        </w:rPr>
        <w:t xml:space="preserve"> Н.М. — 50%).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Соответственно, Крылов Владислав Ильич и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входят в одну группу лиц по основаниям, предусмотренным пунктом 3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являясь конкурсным управляющим, а фактически — руководителем,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входит в одну группу лиц с ООО «Карбон», так как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и ООО «Карбон» входят в одну группу лиц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Следовательно,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входит в одну группу лиц с ООО «Карбон»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Проверка документов на соответствие установленным к ним требованиям, а также проверка их достоверности и принятие решения о </w:t>
      </w:r>
      <w:r w:rsidRPr="00B243F6">
        <w:rPr>
          <w:rFonts w:ascii="Times New Roman" w:eastAsia="MS Mincho" w:hAnsi="Times New Roman" w:cs="Times New Roman"/>
          <w:sz w:val="28"/>
          <w:szCs w:val="28"/>
          <w:shd w:val="clear" w:color="auto" w:fill="FFFFFF"/>
          <w:lang w:eastAsia="ru-RU"/>
        </w:rPr>
        <w:lastRenderedPageBreak/>
        <w:t xml:space="preserve">допуске заявителей к участию в торгах, осуществляется организатором торгов по результатам рассмотрения представленных заявок.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данном случае решение о допуске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Максима Борисовича к торгам принималось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как несоответствующую требованиям статьи 19 Закона о банкротстве.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допуск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Д.В. к участию в торгах заявки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в нарушение статьи 110 Закона о банкротстве, свидетельствует о создании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преимущественных условий при проведении торгов, что является нарушением пункта 2 части 1 статьи 17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Денисом Владимировичем, конкурсным управляющим ООО «Карбон», являющимся организатором торгов, 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w:t>
      </w:r>
      <w:proofErr w:type="spellStart"/>
      <w:r w:rsidRPr="00B243F6">
        <w:rPr>
          <w:rFonts w:ascii="Times New Roman" w:eastAsia="MS Mincho" w:hAnsi="Times New Roman" w:cs="Times New Roman"/>
          <w:sz w:val="28"/>
          <w:szCs w:val="28"/>
          <w:lang w:eastAsia="ru-RU"/>
        </w:rPr>
        <w:t>Зюзько</w:t>
      </w:r>
      <w:proofErr w:type="spellEnd"/>
      <w:r w:rsidRPr="00B243F6">
        <w:rPr>
          <w:rFonts w:ascii="Times New Roman" w:eastAsia="MS Mincho" w:hAnsi="Times New Roman" w:cs="Times New Roman"/>
          <w:sz w:val="28"/>
          <w:szCs w:val="28"/>
          <w:lang w:eastAsia="ru-RU"/>
        </w:rPr>
        <w:t xml:space="preserve"> М.Б.), что позволило </w:t>
      </w:r>
      <w:proofErr w:type="spellStart"/>
      <w:r w:rsidRPr="00B243F6">
        <w:rPr>
          <w:rFonts w:ascii="Times New Roman" w:eastAsia="MS Mincho" w:hAnsi="Times New Roman" w:cs="Times New Roman"/>
          <w:sz w:val="28"/>
          <w:szCs w:val="28"/>
          <w:lang w:eastAsia="ru-RU"/>
        </w:rPr>
        <w:t>Зюзько</w:t>
      </w:r>
      <w:proofErr w:type="spellEnd"/>
      <w:r w:rsidRPr="00B243F6">
        <w:rPr>
          <w:rFonts w:ascii="Times New Roman" w:eastAsia="MS Mincho" w:hAnsi="Times New Roman" w:cs="Times New Roman"/>
          <w:sz w:val="28"/>
          <w:szCs w:val="28"/>
          <w:lang w:eastAsia="ru-RU"/>
        </w:rPr>
        <w:t xml:space="preserve"> М.Б. представить заявку с указанием ценового предложения, превышающего предложение ОАО «НКНМ».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По мнению Коллегии, данных обстоятельств недостаточно для подтверждения соглашения между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Денисом Владимировичем, конкурсным управляющим ООО «Карбон», являющимся организатором торгов 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Коллегия пришла к выводу о необходимости изменения решения </w:t>
      </w:r>
      <w:r w:rsidRPr="00B243F6">
        <w:rPr>
          <w:rFonts w:ascii="Times New Roman" w:eastAsia="MS Mincho" w:hAnsi="Times New Roman" w:cs="Times New Roman"/>
          <w:color w:val="000000"/>
          <w:sz w:val="28"/>
          <w:szCs w:val="28"/>
          <w:shd w:val="clear" w:color="auto" w:fill="FFFFFF"/>
          <w:lang w:eastAsia="ru-RU"/>
        </w:rPr>
        <w:t>Управления Федеральной антимонопольной службы по Псковской области от 16.06.2016 по делу № 13/17/16-ТР</w:t>
      </w:r>
      <w:r w:rsidRPr="00B243F6">
        <w:rPr>
          <w:rFonts w:ascii="Times New Roman" w:eastAsia="MS Mincho" w:hAnsi="Times New Roman" w:cs="Times New Roman"/>
          <w:sz w:val="28"/>
          <w:szCs w:val="28"/>
          <w:shd w:val="clear" w:color="auto" w:fill="FFFFFF"/>
          <w:lang w:eastAsia="ru-RU"/>
        </w:rPr>
        <w:t xml:space="preserve"> в части исключения квалификации действий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и </w:t>
      </w:r>
      <w:proofErr w:type="spellStart"/>
      <w:r w:rsidRPr="00B243F6">
        <w:rPr>
          <w:rFonts w:ascii="Times New Roman" w:eastAsia="MS Mincho" w:hAnsi="Times New Roman" w:cs="Times New Roman"/>
          <w:color w:val="000000"/>
          <w:sz w:val="28"/>
          <w:szCs w:val="28"/>
          <w:shd w:val="clear" w:color="auto" w:fill="FFFFFF"/>
          <w:lang w:eastAsia="ru-RU"/>
        </w:rPr>
        <w:t>Кучерова</w:t>
      </w:r>
      <w:proofErr w:type="spellEnd"/>
      <w:r w:rsidRPr="00B243F6">
        <w:rPr>
          <w:rFonts w:ascii="Times New Roman" w:eastAsia="MS Mincho" w:hAnsi="Times New Roman" w:cs="Times New Roman"/>
          <w:color w:val="000000"/>
          <w:sz w:val="28"/>
          <w:szCs w:val="28"/>
          <w:shd w:val="clear" w:color="auto" w:fill="FFFFFF"/>
          <w:lang w:eastAsia="ru-RU"/>
        </w:rPr>
        <w:t xml:space="preserve"> Д.В.</w:t>
      </w:r>
      <w:r w:rsidRPr="00B243F6">
        <w:rPr>
          <w:rFonts w:ascii="Times New Roman" w:eastAsia="MS Mincho" w:hAnsi="Times New Roman" w:cs="Times New Roman"/>
          <w:sz w:val="28"/>
          <w:szCs w:val="28"/>
          <w:shd w:val="clear" w:color="auto" w:fill="FFFFFF"/>
          <w:lang w:eastAsia="ru-RU"/>
        </w:rPr>
        <w:t xml:space="preserve"> по </w:t>
      </w:r>
      <w:r w:rsidRPr="00B243F6">
        <w:rPr>
          <w:rFonts w:ascii="Times New Roman" w:eastAsia="MS Mincho" w:hAnsi="Times New Roman" w:cs="Times New Roman"/>
          <w:color w:val="000000"/>
          <w:sz w:val="28"/>
          <w:szCs w:val="28"/>
          <w:shd w:val="clear" w:color="auto" w:fill="FFFFFF"/>
          <w:lang w:eastAsia="ru-RU"/>
        </w:rPr>
        <w:t>пункту 1 части 1 статьи 17</w:t>
      </w:r>
      <w:r w:rsidRPr="00B243F6">
        <w:rPr>
          <w:rFonts w:ascii="Times New Roman" w:eastAsia="MS Mincho" w:hAnsi="Times New Roman" w:cs="Times New Roman"/>
          <w:sz w:val="28"/>
          <w:szCs w:val="28"/>
          <w:shd w:val="clear" w:color="auto" w:fill="FFFFFF"/>
          <w:lang w:eastAsia="ru-RU"/>
        </w:rPr>
        <w:t xml:space="preserve">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lastRenderedPageBreak/>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w:t>
      </w:r>
      <w:r w:rsidRPr="00B243F6">
        <w:rPr>
          <w:rFonts w:ascii="Times New Roman" w:eastAsia="Times New Roman" w:hAnsi="Times New Roman" w:cs="Times New Roman"/>
          <w:sz w:val="28"/>
          <w:szCs w:val="28"/>
        </w:rPr>
        <w:t xml:space="preserve">по делу № 2-7569-16/6 </w:t>
      </w:r>
      <w:r w:rsidRPr="00B243F6">
        <w:rPr>
          <w:rFonts w:ascii="Times New Roman" w:eastAsia="Times New Roman" w:hAnsi="Times New Roman" w:cs="Times New Roman"/>
          <w:color w:val="000000"/>
          <w:sz w:val="28"/>
          <w:szCs w:val="28"/>
          <w:shd w:val="clear" w:color="auto" w:fill="FFFFFF"/>
        </w:rPr>
        <w:t>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sz w:val="28"/>
          <w:szCs w:val="28"/>
          <w:lang w:eastAsia="ru-RU"/>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b/>
          <w:sz w:val="28"/>
          <w:szCs w:val="28"/>
          <w:lang w:eastAsia="ru-RU"/>
        </w:rPr>
        <w:t xml:space="preserve">6. Апелляционной коллегией была рассмотрена жалоба </w:t>
      </w:r>
      <w:r w:rsidRPr="00B243F6">
        <w:rPr>
          <w:rFonts w:ascii="Times New Roman" w:eastAsia="MS Mincho" w:hAnsi="Times New Roman" w:cs="Times New Roman"/>
          <w:b/>
          <w:color w:val="000000"/>
          <w:sz w:val="28"/>
          <w:szCs w:val="28"/>
          <w:lang w:eastAsia="ru-RU"/>
        </w:rPr>
        <w:t>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iCs/>
          <w:color w:val="000000"/>
          <w:sz w:val="28"/>
          <w:szCs w:val="28"/>
          <w:lang w:eastAsia="ru-RU"/>
        </w:rPr>
        <w:t>Решением Новосибирского УФАС России в действиях</w:t>
      </w:r>
      <w:r w:rsidRPr="00B243F6">
        <w:rPr>
          <w:rFonts w:ascii="Times New Roman" w:eastAsia="MS Mincho" w:hAnsi="Times New Roman" w:cs="Times New Roman"/>
          <w:i/>
          <w:iCs/>
          <w:color w:val="000000"/>
          <w:sz w:val="28"/>
          <w:szCs w:val="28"/>
          <w:lang w:eastAsia="ru-RU"/>
        </w:rPr>
        <w:t xml:space="preserve"> </w:t>
      </w:r>
      <w:r w:rsidRPr="00B243F6">
        <w:rPr>
          <w:rFonts w:ascii="Times New Roman" w:eastAsia="MS Mincho" w:hAnsi="Times New Roman" w:cs="Times New Roman"/>
          <w:sz w:val="28"/>
          <w:szCs w:val="28"/>
          <w:lang w:eastAsia="ru-RU"/>
        </w:rPr>
        <w:t>ООО «Арчи» и ООО «Успех» установлен факт нарушения пункта 1 статьи 14</w:t>
      </w:r>
      <w:r w:rsidRPr="00B243F6">
        <w:rPr>
          <w:rFonts w:ascii="Times New Roman" w:eastAsia="MS Mincho" w:hAnsi="Times New Roman" w:cs="Times New Roman"/>
          <w:sz w:val="28"/>
          <w:szCs w:val="28"/>
          <w:vertAlign w:val="superscript"/>
          <w:lang w:eastAsia="ru-RU"/>
        </w:rPr>
        <w:t>6</w:t>
      </w:r>
      <w:r w:rsidRPr="00B243F6">
        <w:rPr>
          <w:rFonts w:ascii="Times New Roman" w:eastAsia="MS Mincho" w:hAnsi="Times New Roman" w:cs="Times New Roman"/>
          <w:sz w:val="28"/>
          <w:szCs w:val="28"/>
          <w:lang w:eastAsia="ru-RU"/>
        </w:rPr>
        <w:t xml:space="preserve"> Федерального закона от 26.07.2006 № 135-ФЗ «О защите конкуренции» (далее — Закон о защите конкуренции), выразившийся в </w:t>
      </w:r>
      <w:r w:rsidRPr="00B243F6">
        <w:rPr>
          <w:rFonts w:ascii="Times New Roman" w:eastAsia="MS Mincho" w:hAnsi="Times New Roman" w:cs="Times New Roman"/>
          <w:color w:val="000000"/>
          <w:sz w:val="28"/>
          <w:szCs w:val="28"/>
          <w:lang w:eastAsia="ru-RU"/>
        </w:rPr>
        <w:t>использован</w:t>
      </w:r>
      <w:r w:rsidRPr="00B243F6">
        <w:rPr>
          <w:rFonts w:ascii="Times New Roman" w:eastAsia="MS Mincho" w:hAnsi="Times New Roman" w:cs="Times New Roman"/>
          <w:sz w:val="28"/>
          <w:szCs w:val="28"/>
          <w:lang w:eastAsia="ru-RU"/>
        </w:rPr>
        <w:t xml:space="preserve">ии во внешнем оформлении </w:t>
      </w:r>
      <w:proofErr w:type="spellStart"/>
      <w:r w:rsidRPr="00B243F6">
        <w:rPr>
          <w:rFonts w:ascii="Times New Roman" w:eastAsia="MS Mincho" w:hAnsi="Times New Roman" w:cs="Times New Roman"/>
          <w:sz w:val="28"/>
          <w:szCs w:val="28"/>
          <w:lang w:eastAsia="ru-RU"/>
        </w:rPr>
        <w:t>автогазозаправочных</w:t>
      </w:r>
      <w:proofErr w:type="spellEnd"/>
      <w:r w:rsidRPr="00B243F6">
        <w:rPr>
          <w:rFonts w:ascii="Times New Roman" w:eastAsia="MS Mincho" w:hAnsi="Times New Roman" w:cs="Times New Roman"/>
          <w:sz w:val="28"/>
          <w:szCs w:val="28"/>
          <w:lang w:eastAsia="ru-RU"/>
        </w:rPr>
        <w:t xml:space="preserve"> станций </w:t>
      </w:r>
      <w:r w:rsidRPr="00B243F6">
        <w:rPr>
          <w:rFonts w:ascii="Times New Roman" w:eastAsia="MS Mincho" w:hAnsi="Times New Roman" w:cs="Times New Roman"/>
          <w:sz w:val="28"/>
          <w:szCs w:val="28"/>
          <w:lang w:eastAsia="ru-RU"/>
        </w:rPr>
        <w:lastRenderedPageBreak/>
        <w:t>«НОВОСИБИРСКНЕФТЕТРЕЙД» изобразительных элементов, символов, букв, обозначений, сходных до степени смешения с товарными знаками, используемыми ООО «</w:t>
      </w:r>
      <w:proofErr w:type="spellStart"/>
      <w:r w:rsidRPr="00B243F6">
        <w:rPr>
          <w:rFonts w:ascii="Times New Roman" w:eastAsia="MS Mincho" w:hAnsi="Times New Roman" w:cs="Times New Roman"/>
          <w:sz w:val="28"/>
          <w:szCs w:val="28"/>
          <w:lang w:eastAsia="ru-RU"/>
        </w:rPr>
        <w:t>Газпромнефть-Центр</w:t>
      </w:r>
      <w:proofErr w:type="spellEnd"/>
      <w:r w:rsidRPr="00B243F6">
        <w:rPr>
          <w:rFonts w:ascii="Times New Roman" w:eastAsia="MS Mincho" w:hAnsi="Times New Roman" w:cs="Times New Roman"/>
          <w:sz w:val="28"/>
          <w:szCs w:val="28"/>
          <w:lang w:eastAsia="ru-RU"/>
        </w:rPr>
        <w:t>», АО «</w:t>
      </w:r>
      <w:proofErr w:type="spellStart"/>
      <w:r w:rsidRPr="00B243F6">
        <w:rPr>
          <w:rFonts w:ascii="Times New Roman" w:eastAsia="MS Mincho" w:hAnsi="Times New Roman" w:cs="Times New Roman"/>
          <w:sz w:val="28"/>
          <w:szCs w:val="28"/>
          <w:lang w:eastAsia="ru-RU"/>
        </w:rPr>
        <w:t>Газпромнефть-Новосибирск</w:t>
      </w:r>
      <w:proofErr w:type="spellEnd"/>
      <w:r w:rsidRPr="00B243F6">
        <w:rPr>
          <w:rFonts w:ascii="Times New Roman" w:eastAsia="MS Mincho" w:hAnsi="Times New Roman" w:cs="Times New Roman"/>
          <w:sz w:val="28"/>
          <w:szCs w:val="28"/>
          <w:lang w:eastAsia="ru-RU"/>
        </w:rPr>
        <w:t>» на основании Лицензионного договора.</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 xml:space="preserve">Решением Апелляционной коллегии ФАС России </w:t>
      </w:r>
      <w:r w:rsidRPr="00B243F6">
        <w:rPr>
          <w:rFonts w:ascii="Times New Roman" w:eastAsia="MS Mincho" w:hAnsi="Times New Roman" w:cs="Times New Roman"/>
          <w:sz w:val="28"/>
          <w:szCs w:val="28"/>
          <w:lang w:eastAsia="ru-RU"/>
        </w:rPr>
        <w:t xml:space="preserve">жалоба </w:t>
      </w:r>
      <w:r w:rsidRPr="00B243F6">
        <w:rPr>
          <w:rFonts w:ascii="Times New Roman" w:eastAsia="MS Mincho" w:hAnsi="Times New Roman" w:cs="Times New Roman"/>
          <w:color w:val="000000"/>
          <w:sz w:val="28"/>
          <w:szCs w:val="28"/>
          <w:lang w:eastAsia="ru-RU"/>
        </w:rPr>
        <w:t>ООО «Успех»</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color w:val="000000"/>
          <w:sz w:val="28"/>
          <w:szCs w:val="28"/>
          <w:lang w:eastAsia="ru-RU"/>
        </w:rPr>
        <w:t>на решение и предписание № 2 УФАС России по Новосибирской области от 28.10.2016 по делу о нарушении антимонопольного законодательства № 06-01-12-14-16</w:t>
      </w:r>
      <w:r w:rsidRPr="00B243F6">
        <w:rPr>
          <w:rFonts w:ascii="Times New Roman" w:eastAsia="MS Mincho" w:hAnsi="Times New Roman" w:cs="Times New Roman"/>
          <w:color w:val="000000"/>
          <w:sz w:val="28"/>
          <w:szCs w:val="28"/>
          <w:shd w:val="clear" w:color="auto" w:fill="FFFFFF"/>
          <w:lang w:eastAsia="ru-RU"/>
        </w:rPr>
        <w:t xml:space="preserve">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1)</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w:t>
      </w:r>
      <w:proofErr w:type="spellStart"/>
      <w:r w:rsidRPr="00B243F6">
        <w:rPr>
          <w:rFonts w:ascii="Times New Roman" w:eastAsia="MS Mincho" w:hAnsi="Times New Roman" w:cs="Times New Roman"/>
          <w:sz w:val="28"/>
          <w:szCs w:val="28"/>
          <w:lang w:eastAsia="ru-RU"/>
        </w:rPr>
        <w:t>Газпромнефть-Центр</w:t>
      </w:r>
      <w:proofErr w:type="spellEnd"/>
      <w:r w:rsidRPr="00B243F6">
        <w:rPr>
          <w:rFonts w:ascii="Times New Roman" w:eastAsia="MS Mincho" w:hAnsi="Times New Roman" w:cs="Times New Roman"/>
          <w:sz w:val="28"/>
          <w:szCs w:val="28"/>
          <w:lang w:eastAsia="ru-RU"/>
        </w:rPr>
        <w:t>»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w:t>
      </w:r>
      <w:proofErr w:type="spellStart"/>
      <w:r w:rsidRPr="00B243F6">
        <w:rPr>
          <w:rFonts w:ascii="Times New Roman" w:eastAsia="MS Mincho" w:hAnsi="Times New Roman" w:cs="Times New Roman"/>
          <w:sz w:val="28"/>
          <w:szCs w:val="28"/>
          <w:lang w:eastAsia="ru-RU"/>
        </w:rPr>
        <w:t>Газпромнефть-Новосибирск</w:t>
      </w:r>
      <w:proofErr w:type="spellEnd"/>
      <w:r w:rsidRPr="00B243F6">
        <w:rPr>
          <w:rFonts w:ascii="Times New Roman" w:eastAsia="MS Mincho" w:hAnsi="Times New Roman" w:cs="Times New Roman"/>
          <w:sz w:val="28"/>
          <w:szCs w:val="28"/>
          <w:lang w:eastAsia="ru-RU"/>
        </w:rPr>
        <w:t>» осуществляет реализацию нефтепродуктов на территории Новосибирской области и является лицензиатом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2)</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 xml:space="preserve">3) </w:t>
      </w:r>
      <w:r w:rsidRPr="00B243F6">
        <w:rPr>
          <w:rFonts w:ascii="Times New Roman" w:eastAsia="MS Mincho" w:hAnsi="Times New Roman" w:cs="Times New Roman"/>
          <w:sz w:val="28"/>
          <w:szCs w:val="28"/>
          <w:lang w:eastAsia="ru-RU"/>
        </w:rPr>
        <w:t>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экспертное заключение патентного поверенного;</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справка ФИПС;</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-исследование ОАО «ВЦИОМ» «Определение различительной способности обозначений среди респондентов».</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lastRenderedPageBreak/>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Решением Тульского УФАС России Комиссия Управления Федеральной антимонопольной службы по Тульской области признала Деева А.Ю., а также ООО «</w:t>
      </w:r>
      <w:proofErr w:type="spellStart"/>
      <w:r w:rsidRPr="00B243F6">
        <w:rPr>
          <w:rFonts w:ascii="Times New Roman" w:eastAsia="MS Mincho" w:hAnsi="Times New Roman" w:cs="Times New Roman"/>
          <w:sz w:val="28"/>
          <w:szCs w:val="28"/>
          <w:shd w:val="clear" w:color="auto" w:fill="FFFFFF"/>
          <w:lang w:eastAsia="ru-RU"/>
        </w:rPr>
        <w:t>ОптТорг</w:t>
      </w:r>
      <w:proofErr w:type="spellEnd"/>
      <w:r w:rsidRPr="00B243F6">
        <w:rPr>
          <w:rFonts w:ascii="Times New Roman" w:eastAsia="MS Mincho" w:hAnsi="Times New Roman" w:cs="Times New Roman"/>
          <w:sz w:val="28"/>
          <w:szCs w:val="28"/>
          <w:shd w:val="clear" w:color="auto" w:fill="FFFFFF"/>
          <w:lang w:eastAsia="ru-RU"/>
        </w:rPr>
        <w:t>»,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от 13.02.2017 решение и предписание Тульского УФАС от 11.11.2016 № 03-03/06-2016 отменены.</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1)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w:t>
      </w:r>
      <w:r w:rsidRPr="00B243F6">
        <w:rPr>
          <w:rFonts w:ascii="Times New Roman" w:eastAsia="MS Mincho" w:hAnsi="Times New Roman" w:cs="Times New Roman"/>
          <w:sz w:val="28"/>
          <w:szCs w:val="28"/>
          <w:shd w:val="clear" w:color="auto" w:fill="FFFFFF"/>
          <w:lang w:eastAsia="ru-RU"/>
        </w:rPr>
        <w:t xml:space="preserve">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3) Деев А.Ю. по смыслу Закона о защите конкуренции является хозяйствующим субъектом. </w:t>
      </w:r>
      <w:r w:rsidRPr="00B243F6">
        <w:rPr>
          <w:rFonts w:ascii="Times New Roman" w:eastAsia="MS Mincho" w:hAnsi="Times New Roman" w:cs="Times New Roman"/>
          <w:sz w:val="28"/>
          <w:szCs w:val="28"/>
          <w:lang w:eastAsia="ru-RU"/>
        </w:rPr>
        <w:t>Соответственно, на рассматриваемые действия Деева А.Ю. распространяются</w:t>
      </w:r>
      <w:r w:rsidRPr="00B243F6">
        <w:rPr>
          <w:rFonts w:ascii="Times New Roman" w:eastAsia="MS Mincho" w:hAnsi="Times New Roman" w:cs="Times New Roman"/>
          <w:sz w:val="28"/>
          <w:szCs w:val="28"/>
          <w:shd w:val="clear" w:color="auto" w:fill="FFFFFF"/>
          <w:lang w:eastAsia="ru-RU"/>
        </w:rPr>
        <w:t xml:space="preserve">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 а не части 1 статьи 17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8. Апелляционной коллегией ФАС России была рассмотрена жалоба </w:t>
      </w:r>
      <w:r w:rsidRPr="00B243F6">
        <w:rPr>
          <w:rFonts w:ascii="Times New Roman" w:eastAsia="Times New Roman" w:hAnsi="Times New Roman" w:cs="Times New Roman"/>
          <w:b/>
          <w:color w:val="000000"/>
          <w:sz w:val="28"/>
          <w:szCs w:val="28"/>
          <w:shd w:val="clear" w:color="auto" w:fill="FFFFFF"/>
        </w:rPr>
        <w:t xml:space="preserve">Заиченко О.В. (представитель </w:t>
      </w:r>
      <w:proofErr w:type="spellStart"/>
      <w:r w:rsidRPr="00B243F6">
        <w:rPr>
          <w:rFonts w:ascii="Times New Roman" w:eastAsia="Times New Roman" w:hAnsi="Times New Roman" w:cs="Times New Roman"/>
          <w:b/>
          <w:color w:val="000000"/>
          <w:sz w:val="28"/>
          <w:szCs w:val="28"/>
          <w:shd w:val="clear" w:color="auto" w:fill="FFFFFF"/>
        </w:rPr>
        <w:t>Тимошенковой</w:t>
      </w:r>
      <w:proofErr w:type="spellEnd"/>
      <w:r w:rsidRPr="00B243F6">
        <w:rPr>
          <w:rFonts w:ascii="Times New Roman" w:eastAsia="Times New Roman" w:hAnsi="Times New Roman" w:cs="Times New Roman"/>
          <w:b/>
          <w:color w:val="000000"/>
          <w:sz w:val="28"/>
          <w:szCs w:val="28"/>
          <w:shd w:val="clear" w:color="auto" w:fill="FFFFFF"/>
        </w:rPr>
        <w:t xml:space="preserve"> Т.В.) на решение </w:t>
      </w:r>
      <w:r w:rsidRPr="00B243F6">
        <w:rPr>
          <w:rFonts w:ascii="Times New Roman" w:eastAsia="Times New Roman" w:hAnsi="Times New Roman" w:cs="Times New Roman"/>
          <w:b/>
          <w:color w:val="000000"/>
          <w:sz w:val="28"/>
          <w:szCs w:val="28"/>
        </w:rPr>
        <w:t>Калужского УФАС России от 27.12.2016 по делу о нарушении антимонопольного законодательства № 04-52к/2015 (далее — решение Калужского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lastRenderedPageBreak/>
        <w:t xml:space="preserve">Решением Апелляционной коллегии ФАС России жалоба Заиченко О.В. (представитель </w:t>
      </w:r>
      <w:proofErr w:type="spellStart"/>
      <w:r w:rsidRPr="00B243F6">
        <w:rPr>
          <w:rFonts w:ascii="Times New Roman" w:eastAsia="MS Mincho" w:hAnsi="Times New Roman" w:cs="Times New Roman"/>
          <w:color w:val="000000"/>
          <w:sz w:val="28"/>
          <w:szCs w:val="28"/>
          <w:shd w:val="clear" w:color="auto" w:fill="FFFFFF"/>
          <w:lang w:eastAsia="ru-RU"/>
        </w:rPr>
        <w:t>Тимошенковой</w:t>
      </w:r>
      <w:proofErr w:type="spellEnd"/>
      <w:r w:rsidRPr="00B243F6">
        <w:rPr>
          <w:rFonts w:ascii="Times New Roman" w:eastAsia="MS Mincho" w:hAnsi="Times New Roman" w:cs="Times New Roman"/>
          <w:color w:val="000000"/>
          <w:sz w:val="28"/>
          <w:szCs w:val="28"/>
          <w:shd w:val="clear" w:color="auto" w:fill="FFFFFF"/>
          <w:lang w:eastAsia="ru-RU"/>
        </w:rPr>
        <w:t xml:space="preserve"> Т.В.) на решение Калужского УФАС России от 27.12.2016 по делу о нарушении антимонопольного законодательства № 04-52к/2015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u w:val="single"/>
          <w:lang w:eastAsia="ru-RU"/>
        </w:rPr>
      </w:pPr>
      <w:r w:rsidRPr="00B243F6">
        <w:rPr>
          <w:rFonts w:ascii="Times New Roman" w:eastAsia="MS Mincho" w:hAnsi="Times New Roman" w:cs="Times New Roman"/>
          <w:color w:val="000000"/>
          <w:sz w:val="28"/>
          <w:szCs w:val="28"/>
          <w:lang w:eastAsia="ru-RU"/>
        </w:rPr>
        <w:t xml:space="preserve">В соответствии Разъяснением № 7 </w:t>
      </w:r>
      <w:r w:rsidRPr="00B243F6">
        <w:rPr>
          <w:rFonts w:ascii="Times New Roman" w:eastAsia="MS Mincho" w:hAnsi="Times New Roman" w:cs="Times New Roman"/>
          <w:sz w:val="28"/>
          <w:szCs w:val="28"/>
          <w:lang w:eastAsia="ru-RU"/>
        </w:rPr>
        <w:t xml:space="preserve">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w:t>
      </w:r>
      <w:r w:rsidRPr="00B243F6">
        <w:rPr>
          <w:rFonts w:ascii="Times New Roman" w:eastAsia="MS Mincho" w:hAnsi="Times New Roman" w:cs="Times New Roman"/>
          <w:color w:val="000000"/>
          <w:sz w:val="28"/>
          <w:szCs w:val="28"/>
          <w:lang w:eastAsia="ru-RU"/>
        </w:rPr>
        <w:t xml:space="preserve">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B243F6">
        <w:rPr>
          <w:rFonts w:ascii="Times New Roman" w:eastAsia="MS Mincho" w:hAnsi="Times New Roman" w:cs="Times New Roman"/>
          <w:color w:val="000000"/>
          <w:sz w:val="28"/>
          <w:szCs w:val="28"/>
          <w:u w:val="single"/>
          <w:lang w:eastAsia="ru-RU"/>
        </w:rPr>
        <w:t>за исключением случаев, предусмотренных статьей 9.21 КоАП.</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bookmarkStart w:id="82" w:name="_Toc487453733"/>
      <w:bookmarkStart w:id="83" w:name="_Toc487453860"/>
      <w:bookmarkStart w:id="84" w:name="_Toc487488267"/>
      <w:bookmarkStart w:id="85" w:name="_Toc487488500"/>
      <w:bookmarkStart w:id="86" w:name="_Toc487657898"/>
      <w:bookmarkStart w:id="87" w:name="_Toc489368943"/>
      <w:bookmarkStart w:id="88" w:name="_Toc489369045"/>
      <w:r w:rsidRPr="00B243F6">
        <w:rPr>
          <w:rFonts w:ascii="Times New Roman" w:eastAsia="MS Gothic" w:hAnsi="Times New Roman" w:cs="Times New Roman"/>
          <w:b/>
          <w:bCs/>
          <w:iCs/>
          <w:sz w:val="28"/>
          <w:szCs w:val="28"/>
          <w:lang w:eastAsia="ar-SA"/>
        </w:rPr>
        <w:t>Комментарии по вопросам, возникающим при пересмотре коллегиальными органами ФАС России решений и предписаний территориальных органов ФАС России</w:t>
      </w:r>
      <w:bookmarkEnd w:id="82"/>
      <w:bookmarkEnd w:id="83"/>
      <w:bookmarkEnd w:id="84"/>
      <w:bookmarkEnd w:id="85"/>
      <w:bookmarkEnd w:id="86"/>
      <w:bookmarkEnd w:id="87"/>
      <w:bookmarkEnd w:id="88"/>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Обжалование в коллегиальных органах ФАС России решений и (или) предписаний территориальных антимонопольных органов становится все более востребованным инструментом защиты законных интересов участников антимонопольных разбирательств.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Это неудивительно: если вынесенные по делу решение или предписание нарушают единообразие в применении антимонопольными органами законодательства о конкуренции (единственное основание для пересмотра актов в рамках «ведомственной апелляции» ФАС), то апелляционное обжалование становится более оперативным и экономичным способом правовой защиты.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свою очередь значительный процент отменяемых или изменяемых решений и предписаний антимонопольных органов подтверждает работоспособность и эффективность этого правового института, существующего на данный момент лишь немногим более полутора лет.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относительно лаконичное урегулирование вопросов апелляционного обжалования и пересмотра решений и предписаний </w:t>
      </w:r>
      <w:r w:rsidRPr="00B243F6">
        <w:rPr>
          <w:rFonts w:ascii="Times New Roman" w:eastAsia="Times New Roman" w:hAnsi="Times New Roman" w:cs="Times New Roman"/>
          <w:sz w:val="28"/>
          <w:szCs w:val="28"/>
        </w:rPr>
        <w:lastRenderedPageBreak/>
        <w:t>территориальных антимонопольных органов по делам о нарушении антимонопольного законодательства в Федеральном законе от 26 июля 2006 г. № 135-ФЗ «О защите конкуренции» (</w:t>
      </w:r>
      <w:r w:rsidRPr="00B243F6">
        <w:rPr>
          <w:rFonts w:ascii="Times New Roman" w:eastAsia="Times New Roman" w:hAnsi="Times New Roman" w:cs="Times New Roman"/>
          <w:b/>
          <w:sz w:val="28"/>
          <w:szCs w:val="28"/>
        </w:rPr>
        <w:t>Федеральный закон «О защите конкуренции»</w:t>
      </w:r>
      <w:r w:rsidRPr="00B243F6">
        <w:rPr>
          <w:rFonts w:ascii="Times New Roman" w:eastAsia="Times New Roman" w:hAnsi="Times New Roman" w:cs="Times New Roman"/>
          <w:sz w:val="28"/>
          <w:szCs w:val="28"/>
        </w:rPr>
        <w:t>), отсутствие на данный момент подробного подзаконного регулирования данных процедур, а также официальных разъяснений Федеральной антимонопольной службы (работа над последними ведется) и, отчасти, сложившейся практики вызывают значительное число вопросов как у подателей жалоб и бизнеса, граждан в целом, так и у территориальных органов, чьи акты обжалуются.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На некоторые из этих существенных вопросов мы постараемся ответить в данном совместном комментарии Федеральной антимонопольной службы и Ассоциации антимонопольных экспертов.</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Какие решения и предписания территориальных антимонопольных органов могут быть обжалованы в коллегиальном органе ФАС России?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Как следует из закона, в коллегиальном органе ФАС России могут быть обжалованы только решения и предписания территориальных антимонопольных органов по делам о нарушении антимонопольного законодательства, включая решения о прекращении рассмотрения дел о нарушении антимонопольного законодательства (см., в частности, решение Апелляционной коллегии ФАС России от 9 июня 2016 г. по жалобе на решение о прекращении рассмотрения дела № 02-9/10-2015), решения и предписания, принятые (выданные) по итогам пересмотра решений и (или) предписаний по делам о нарушении антимонопольного законодательства по новым и (или) вновь открывшимся обстоятельствам.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могут быть обжалованы</w:t>
      </w:r>
      <w:r w:rsidRPr="00B243F6">
        <w:rPr>
          <w:rFonts w:ascii="Times New Roman" w:eastAsia="Times New Roman" w:hAnsi="Times New Roman" w:cs="Times New Roman"/>
          <w:b/>
          <w:sz w:val="28"/>
          <w:szCs w:val="28"/>
        </w:rPr>
        <w:t xml:space="preserve"> </w:t>
      </w:r>
      <w:r w:rsidRPr="00B243F6">
        <w:rPr>
          <w:rFonts w:ascii="Times New Roman" w:eastAsia="Times New Roman" w:hAnsi="Times New Roman" w:cs="Times New Roman"/>
          <w:sz w:val="28"/>
          <w:szCs w:val="28"/>
        </w:rPr>
        <w:t>в коллегиальном органе решения и предписания, принятые территориальным антимонопольным органом в порядке статей 18</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33 Федерального закона «О защите конкуренции» или по делам о нарушении законодательства о рекламе,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Допускается ли обжалование в коллегиальном органе ФАС России решения или предписания федерального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настоящее время законодательство предусматривает обжалование в коллегиальном органе ФАС России только решений и предписаний территориальных антимонопольных органов. Решения и предписания ФАС России, а также коллегиальных органов ФАС России не могут быть обжалованы в указанном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lastRenderedPageBreak/>
        <w:t>При этом закон предоставляет возможность судебного обжалования решений и предписаний как комиссий ФАС России, так и ее коллегиальных органов (часть 1 статьи 52 Федерального закона «О защите конкуренции», статья 198 АПК РФ). Необходимо отметить, что возможность обжалования решений коллегиальных органов ФАС России подтверждается и складывающейся судебной практикой (см. дела № А40-210365/16, А40-145056/2016 и др.)</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обжалование в коллегиальном органе ФАС России только решения или только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коллегиальном органе ФАС России может быть обжаловано как отдельно решение территориального антимонопольного органа (без одновременного обжалования предписания), так и только его предписание. Запрет законом не установлен.</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Правомерно ли обжалование в коллегиальном органе ФАС России части решения или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части 1 статьи 52 Федерального закона «О защите конкуренции» решение или предписание территориального органа могут быть обжалованы в коллегиальном органе как полностью, так и частично. На практике нередко так и происходит.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Кто вправе обжаловать в</w:t>
      </w:r>
      <w:r w:rsidRPr="00B243F6">
        <w:rPr>
          <w:rFonts w:ascii="Times New Roman" w:eastAsia="Times New Roman" w:hAnsi="Times New Roman" w:cs="Times New Roman"/>
          <w:sz w:val="28"/>
          <w:szCs w:val="28"/>
        </w:rPr>
        <w:t xml:space="preserve"> </w:t>
      </w:r>
      <w:r w:rsidRPr="00B243F6">
        <w:rPr>
          <w:rFonts w:ascii="Times New Roman" w:eastAsia="Times New Roman" w:hAnsi="Times New Roman" w:cs="Times New Roman"/>
          <w:b/>
          <w:sz w:val="28"/>
          <w:szCs w:val="28"/>
        </w:rPr>
        <w:t xml:space="preserve">коллегиальном органе ФАС России решения или предписания территориального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закона жалоба на решение или предписание территориального антимонопольного органа может быть подана любым лицом, участвовавшим в соответствующем деле о нарушении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необходимо учитывать, что практика коллегиальных органов ФАС России признает право на обращение с жалобой также и за лицом, которое обращалось в территориальный орган с заявлением о нарушении антимонопольного законодательства, но неправомерно не было привлечено к участию в деле.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Данная позиция изложена в уже упоминавшемся решении Апелляционной коллегии ФАС России от 9 июня 2016 г. по жалобе на прекращение рассмотрения дела № 02-9/10-2015. В указанном решении отмечается, что согласно части 1 статьи 42 Федерального закона «О защите конкуренции» лицом, участвующим в деле о нарушении антимонопольного законодательства, является, в частности, заявитель, то есть лицо, подавшее заявление, государственный орган, орган местного самоуправления, направившие материалы.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связи с этим коллегиальный орган сделал вывод, что </w:t>
      </w:r>
      <w:proofErr w:type="spellStart"/>
      <w:r w:rsidRPr="00B243F6">
        <w:rPr>
          <w:rFonts w:ascii="Times New Roman" w:eastAsia="Times New Roman" w:hAnsi="Times New Roman" w:cs="Times New Roman"/>
          <w:sz w:val="28"/>
          <w:szCs w:val="28"/>
        </w:rPr>
        <w:t>непривлечение</w:t>
      </w:r>
      <w:proofErr w:type="spellEnd"/>
      <w:r w:rsidRPr="00B243F6">
        <w:rPr>
          <w:rFonts w:ascii="Times New Roman" w:eastAsia="Times New Roman" w:hAnsi="Times New Roman" w:cs="Times New Roman"/>
          <w:sz w:val="28"/>
          <w:szCs w:val="28"/>
        </w:rPr>
        <w:t xml:space="preserve"> к участию в деле в качестве заявителя лица, подавшего заявление в </w:t>
      </w:r>
      <w:r w:rsidRPr="00B243F6">
        <w:rPr>
          <w:rFonts w:ascii="Times New Roman" w:eastAsia="Times New Roman" w:hAnsi="Times New Roman" w:cs="Times New Roman"/>
          <w:sz w:val="28"/>
          <w:szCs w:val="28"/>
        </w:rPr>
        <w:lastRenderedPageBreak/>
        <w:t xml:space="preserve">антимонопольный орган, которое явилось основанием для возбуждения дела о нарушении антимонопольного законодательства, противоречит статьям 42, 44 Федерального закона «О защите конкуренции», нарушает права и интересы такого лица и приводит к нарушению единообразия применения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Соответственно, согласно этой позиции коллегиального органа </w:t>
      </w:r>
      <w:proofErr w:type="spellStart"/>
      <w:r w:rsidRPr="00B243F6">
        <w:rPr>
          <w:rFonts w:ascii="Times New Roman" w:eastAsia="Times New Roman" w:hAnsi="Times New Roman" w:cs="Times New Roman"/>
          <w:sz w:val="28"/>
          <w:szCs w:val="28"/>
        </w:rPr>
        <w:t>непривлечение</w:t>
      </w:r>
      <w:proofErr w:type="spellEnd"/>
      <w:r w:rsidRPr="00B243F6">
        <w:rPr>
          <w:rFonts w:ascii="Times New Roman" w:eastAsia="Times New Roman" w:hAnsi="Times New Roman" w:cs="Times New Roman"/>
          <w:sz w:val="28"/>
          <w:szCs w:val="28"/>
        </w:rPr>
        <w:t xml:space="preserve"> заявителя к участию в деле не могло в таком случае являться препятствием к обжалованию им принятого по делу решения в апелляционном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Аналогичные выводы содержатся в Постановлении Арбитражного суда Московского округа от 27 апреля 2017 г. по делу № А40-145056/2016, вынесенному по делу о признании недействительным указанного выше решения Апелляционной коллегии ФАС России от 9 июня 2016 г.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Что считается датой обращения с жалобой в коллегиальный орган при подаче жалобы через подразделение «Почты России», иную почтовую службу?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Согласно части 6 статьи 23 Федерального закона «О защите конкуренции»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При этом закон допускает возможность направления жалобы вместе с прилагающимися документами в ФАС России через подразделение Почту России или через иную почтовую службу (компанию).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По смыслу части 6 статьи 23 Федерального закона «О защите конкуренции» и в соответствии с общими правилами действующего законодательства в подобных случаях датой обращения с жалобой (в том числе для целей соблюдения месячного срока на обжалование) считается день сдачи заявителем жалобы в соответствующее подразделение Почты России или в иную почтовую службу (компанию).</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Возможно ли обращение с жалобой на решение и предписание в коллегиальный орган ФАС России, если одновременно или ранее указанные акты (или один из них) были обжалованы тем же или другим лицом в судебном порядке?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содержит препятствий для обращения с жалобой в такой ситуации и ее рассмотрения коллегиальным органом.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Приостанавливает ли подача в коллегиальный орган ФАС России жалобы на решение или предписание территориального антимонопольного органа исполнение соответствующего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lastRenderedPageBreak/>
        <w:t>Закон не предусматривает возможности приостановления исполнения предписания территориального антимонопольного органа при его обжаловании в коллегиальном органе ФАС России, в том числе по ходатайству заявителя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соответствии с частью 2 статьи 52 Федерального закона «О защите конкуренции» в </w:t>
      </w:r>
      <w:bookmarkStart w:id="89" w:name="sub_23010400"/>
      <w:r w:rsidRPr="00B243F6">
        <w:rPr>
          <w:rFonts w:ascii="Times New Roman" w:eastAsia="Times New Roman" w:hAnsi="Times New Roman" w:cs="Times New Roman"/>
          <w:sz w:val="28"/>
          <w:szCs w:val="28"/>
        </w:rPr>
        <w:t>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восстановление срока на обращение с жалобой в коллегиальный орган ФАС России?</w:t>
      </w:r>
    </w:p>
    <w:bookmarkEnd w:id="89"/>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настоящее время закон не предусматривает возможности восстановления пропущенного срока на обращение с жалобой, в том числе когда срок пропущен по не зависящим от подателя жалобы причинам.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b/>
          <w:sz w:val="28"/>
          <w:szCs w:val="28"/>
        </w:rPr>
        <w:t>Каковы последствия представления заявителем жалобы в коллегиальный орган ФАС России доказательств, которые ранее не были представлены в материалах дела о нарушении антимонопольного законодательства?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(в отличие от регулирования подобных ситуаций в процессуальных кодексах) не предусматривает право заявителя жалобы представлять в коллегиальный орган ФАС России доказательства, которые ранее не были представлены в материалы дела о нарушении антимонопольного законодательства, по результатам рассмотрения которого приняты обжалуемое решение и (или) выдано предписание.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предусмотрено такое право и для иных лиц, участвовавших в деле о нарушении антимонопольного законодательства, или антимонопольного органа, акты которого оспариваются.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в случае если какие-либо доказательства были представлены в материалы антимонопольного дела, однако не были исследованы и оценены комиссией территориального антимонопольного органа, это не препятствует, на наш взгляд, лицам, участвовавшим в деле о нарушении антимонопольного законодательства, ссылаться на такие доказательства при обращении с жалобой в коллегиальный орган ФАС России, в рамках процедур пересмотра решения и (или)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Кроме того, если не представлявшиеся ранее в дело о нарушении антимонопольного законодательства доказательства свидетельствуют о наличии новых или вновь открывшихся обстоятельств, такие доказательства могут служить основанием для обращения в рассматривавший дело территориальный антимонопольный орган для пересмотра дела в порядке статьи 51.2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lastRenderedPageBreak/>
        <w:t>В какие сроки вступает в силу решение коллегиального органа ФАС России по рассмотренной жалобе и с какого момента начинает течь срок судебного обжалования, установленный ч. 1</w:t>
      </w:r>
      <w:r w:rsidRPr="00B243F6">
        <w:rPr>
          <w:rFonts w:ascii="Times New Roman" w:eastAsia="Times New Roman" w:hAnsi="Times New Roman" w:cs="Times New Roman"/>
          <w:b/>
          <w:sz w:val="28"/>
          <w:szCs w:val="28"/>
          <w:vertAlign w:val="superscript"/>
        </w:rPr>
        <w:t>1</w:t>
      </w:r>
      <w:r w:rsidRPr="00B243F6">
        <w:rPr>
          <w:rFonts w:ascii="Times New Roman" w:eastAsia="Times New Roman" w:hAnsi="Times New Roman" w:cs="Times New Roman"/>
          <w:b/>
          <w:sz w:val="28"/>
          <w:szCs w:val="28"/>
        </w:rPr>
        <w:t xml:space="preserve"> ст. 52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соответствии с ч. 1</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xml:space="preserve"> ст. 52 Федерального закона «О защите конкуренции» в случае, если решение и (или) предписание антимонопольного органа обжалованы в коллегиальном органе федерального антимонопольного органа, принятые по делу о нарушении антимонопольного законодательства акты могут быть обжалованы в арбитражном суде в течение одного месяца с момента вступления в силу решения коллегиального органа федерального антимонопольного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Федеральный закон «О защите конкуренции» не устанавливает, что датой вступления в силу решения коллегиального органа ФАС России является иная дата, нежели дата принятия этого решения (то есть дата его изготовления в полном объеме).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Аналогичное разъяснение применительно к моменту вступления в силу решений антимонопольных органов по делам о нарушении антимонопольного законодательства дано в пункте 10.1 Постановления Пленума ВАС РФ от 30 июня 2008 г. № 30 «О некоторых вопросах, возникающих в связи с применением арбитражными судами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решение коллегиального органа ФАС России по рассмотренной жалобе вступает в силу с момента его изготовления в полном объеме и с указанного момента начинает течь месячный срок на обжалование в арбитражном суде принятых по делу о нарушении антимонопольного законодательства актов.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При каких условиях член коллегиального органа ФАС России не вправе участвовать в рассмотрении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Необходимо отметить, что этот вопрос прямо не урегулирован в Федеральном законе «О защите конкуренции».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исходя из общих принципов урегулирования ситуаций конфликта интересов в процессуальном законодательстве (АПК, ГПК, КАС, КоАП РФ), а также применяя по аналогии максимально близкие по сфере регулирования положения части 1 статьи 42.2 данного закона, необходимо прийти к выводу, что члены коллегиального органа ФАС России (как апелляционной коллегии, так и Президиума) </w:t>
      </w:r>
      <w:bookmarkStart w:id="90" w:name="sub_4221"/>
      <w:r w:rsidRPr="00B243F6">
        <w:rPr>
          <w:rFonts w:ascii="Times New Roman" w:eastAsia="Times New Roman" w:hAnsi="Times New Roman" w:cs="Times New Roman"/>
          <w:sz w:val="28"/>
          <w:szCs w:val="28"/>
        </w:rPr>
        <w:t>не могут участвовать в рассмотрении жалобы, если у члена комиссии имеется личная заинтересованность в исходе рассмотрения жалобы, которая может привести к конфликту интересов.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К числу таких ситуаций, по мнению авторов комментария, можно отнести, например, случаи, когда член комиссии территориального органа, решение или предписание которого обжалуются, перешел на службу в ФАС России и вошел в состав соответствующей апелляционной коллегии. </w:t>
      </w:r>
      <w:r w:rsidRPr="00B243F6">
        <w:rPr>
          <w:rFonts w:ascii="Times New Roman" w:eastAsia="Times New Roman" w:hAnsi="Times New Roman" w:cs="Times New Roman"/>
          <w:sz w:val="28"/>
          <w:szCs w:val="28"/>
        </w:rPr>
        <w:lastRenderedPageBreak/>
        <w:t xml:space="preserve">Аналогично, полагаем, необходимо воздержаться от участия в обсуждении и голосовании по жалобе члену Президиума ФАС России, если он является или являлся на момент вынесения спорного решения (предписания) руководителем территориального органа, акт которого обжалуется. </w:t>
      </w:r>
      <w:bookmarkEnd w:id="90"/>
    </w:p>
    <w:sectPr w:rsidR="00B243F6" w:rsidRPr="00B243F6" w:rsidSect="000B72A0">
      <w:footerReference w:type="default" r:id="rId6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E5E" w:rsidRDefault="004F1E5E" w:rsidP="000B72A0">
      <w:pPr>
        <w:spacing w:after="0" w:line="240" w:lineRule="auto"/>
      </w:pPr>
      <w:r>
        <w:separator/>
      </w:r>
    </w:p>
  </w:endnote>
  <w:endnote w:type="continuationSeparator" w:id="0">
    <w:p w:rsidR="004F1E5E" w:rsidRDefault="004F1E5E" w:rsidP="000B7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301649"/>
      <w:docPartObj>
        <w:docPartGallery w:val="Page Numbers (Bottom of Page)"/>
        <w:docPartUnique/>
      </w:docPartObj>
    </w:sdtPr>
    <w:sdtContent>
      <w:p w:rsidR="009746F9" w:rsidRDefault="00B850EE">
        <w:pPr>
          <w:pStyle w:val="a6"/>
          <w:jc w:val="center"/>
        </w:pPr>
        <w:r>
          <w:fldChar w:fldCharType="begin"/>
        </w:r>
        <w:r w:rsidR="009746F9">
          <w:instrText>PAGE   \* MERGEFORMAT</w:instrText>
        </w:r>
        <w:r>
          <w:fldChar w:fldCharType="separate"/>
        </w:r>
        <w:r w:rsidR="00867178">
          <w:rPr>
            <w:noProof/>
          </w:rPr>
          <w:t>197</w:t>
        </w:r>
        <w:r>
          <w:fldChar w:fldCharType="end"/>
        </w:r>
      </w:p>
    </w:sdtContent>
  </w:sdt>
  <w:p w:rsidR="009746F9" w:rsidRDefault="009746F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E5E" w:rsidRDefault="004F1E5E" w:rsidP="000B72A0">
      <w:pPr>
        <w:spacing w:after="0" w:line="240" w:lineRule="auto"/>
      </w:pPr>
      <w:r>
        <w:separator/>
      </w:r>
    </w:p>
  </w:footnote>
  <w:footnote w:type="continuationSeparator" w:id="0">
    <w:p w:rsidR="004F1E5E" w:rsidRDefault="004F1E5E" w:rsidP="000B72A0">
      <w:pPr>
        <w:spacing w:after="0" w:line="240" w:lineRule="auto"/>
      </w:pPr>
      <w:r>
        <w:continuationSeparator/>
      </w:r>
    </w:p>
  </w:footnote>
  <w:footnote w:id="1">
    <w:p w:rsidR="009746F9" w:rsidRDefault="009746F9">
      <w:pPr>
        <w:pStyle w:val="a9"/>
      </w:pPr>
      <w:r>
        <w:rPr>
          <w:rStyle w:val="ab"/>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2">
    <w:p w:rsidR="009746F9" w:rsidRDefault="009746F9">
      <w:pPr>
        <w:pStyle w:val="a9"/>
      </w:pPr>
      <w:r>
        <w:rPr>
          <w:rStyle w:val="ab"/>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3">
    <w:p w:rsidR="009746F9" w:rsidRDefault="009746F9">
      <w:pPr>
        <w:pStyle w:val="a9"/>
      </w:pPr>
      <w:r>
        <w:rPr>
          <w:rStyle w:val="ab"/>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4">
    <w:p w:rsidR="009746F9" w:rsidRDefault="009746F9">
      <w:pPr>
        <w:pStyle w:val="a9"/>
      </w:pPr>
      <w:r>
        <w:rPr>
          <w:rStyle w:val="ab"/>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5">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6">
    <w:p w:rsidR="009746F9" w:rsidRPr="005C629F" w:rsidRDefault="009746F9">
      <w:pPr>
        <w:pStyle w:val="a9"/>
      </w:pPr>
      <w:r w:rsidRPr="005C629F">
        <w:rPr>
          <w:rStyle w:val="ab"/>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7">
    <w:p w:rsidR="009746F9" w:rsidRDefault="009746F9">
      <w:pPr>
        <w:pStyle w:val="a9"/>
      </w:pPr>
      <w:r w:rsidRPr="005C629F">
        <w:rPr>
          <w:rStyle w:val="ab"/>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8">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 w:id="9">
    <w:p w:rsidR="00D52262" w:rsidRPr="00EB4E01" w:rsidRDefault="00D52262" w:rsidP="00D52262">
      <w:pPr>
        <w:pStyle w:val="a9"/>
        <w:jc w:val="both"/>
        <w:rPr>
          <w:rFonts w:ascii="Times New Roman" w:eastAsia="Arial Unicode MS" w:hAnsi="Times New Roman"/>
        </w:rPr>
      </w:pPr>
      <w:r w:rsidRPr="0034481E">
        <w:rPr>
          <w:rStyle w:val="ab"/>
          <w:rFonts w:ascii="Times New Roman" w:eastAsia="Arial Unicode MS" w:hAnsi="Times New Roman"/>
        </w:rPr>
        <w:footnoteRef/>
      </w:r>
      <w:r w:rsidRPr="0034481E">
        <w:rPr>
          <w:rFonts w:ascii="Times New Roman" w:eastAsia="Arial Unicode MS" w:hAnsi="Times New Roman"/>
        </w:rPr>
        <w:t xml:space="preserve"> </w:t>
      </w:r>
      <w:r w:rsidRPr="00EB4E01">
        <w:rPr>
          <w:rFonts w:ascii="Times New Roman" w:eastAsia="Arial Unicode MS" w:hAnsi="Times New Roman"/>
        </w:rPr>
        <w:t>Изложенная правовая позиция следует из постановления Президиума Высшего Арбитражного Суда Российской Федерации от 30.07.2013 № 11662/13 по делу № А03-1338/2012.</w:t>
      </w:r>
    </w:p>
  </w:footnote>
  <w:footnote w:id="10">
    <w:p w:rsidR="00D52262" w:rsidRPr="00EB4E01" w:rsidRDefault="00D52262" w:rsidP="00D52262">
      <w:pPr>
        <w:spacing w:after="0" w:line="240" w:lineRule="auto"/>
        <w:jc w:val="both"/>
        <w:rPr>
          <w:rFonts w:ascii="Times New Roman" w:hAnsi="Times New Roman"/>
          <w:sz w:val="20"/>
          <w:szCs w:val="20"/>
        </w:rPr>
      </w:pPr>
      <w:r w:rsidRPr="00EB4E01">
        <w:rPr>
          <w:rStyle w:val="ab"/>
          <w:rFonts w:ascii="Times New Roman" w:hAnsi="Times New Roman"/>
          <w:sz w:val="20"/>
          <w:szCs w:val="20"/>
        </w:rPr>
        <w:footnoteRef/>
      </w:r>
      <w:r w:rsidRPr="00EB4E01">
        <w:rPr>
          <w:rFonts w:ascii="Times New Roman" w:eastAsia="Times New Roman" w:hAnsi="Times New Roman"/>
          <w:sz w:val="20"/>
          <w:szCs w:val="20"/>
          <w:lang w:eastAsia="ru-RU"/>
        </w:rPr>
        <w:t xml:space="preserve"> Порядок </w:t>
      </w:r>
      <w:r w:rsidRPr="00EB4E01">
        <w:rPr>
          <w:rFonts w:ascii="Times New Roman" w:hAnsi="Times New Roman"/>
          <w:sz w:val="20"/>
          <w:szCs w:val="20"/>
        </w:rPr>
        <w:t xml:space="preserve">проведения анализа состояния конкуренции на товарном рынке, утвержденный приказом ФАС России от 28.04.2010 № 220; Порядок </w:t>
      </w:r>
      <w:r w:rsidRPr="00EB4E01">
        <w:rPr>
          <w:rFonts w:ascii="Times New Roman" w:eastAsia="Times New Roman" w:hAnsi="Times New Roman"/>
          <w:sz w:val="20"/>
          <w:szCs w:val="20"/>
          <w:lang w:eastAsia="ru-RU"/>
        </w:rPr>
        <w:t xml:space="preserve">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w:t>
      </w:r>
      <w:r w:rsidRPr="00EB4E01">
        <w:rPr>
          <w:rFonts w:ascii="Times New Roman" w:hAnsi="Times New Roman"/>
          <w:sz w:val="20"/>
          <w:szCs w:val="20"/>
        </w:rPr>
        <w:t>№ 433</w:t>
      </w:r>
      <w:r w:rsidRPr="00EB4E01">
        <w:rPr>
          <w:rFonts w:ascii="Times New Roman" w:eastAsia="Times New Roman" w:hAnsi="Times New Roman"/>
          <w:sz w:val="20"/>
          <w:szCs w:val="20"/>
          <w:lang w:eastAsia="ru-RU"/>
        </w:rPr>
        <w:t>.</w:t>
      </w:r>
    </w:p>
  </w:footnote>
  <w:footnote w:id="11">
    <w:p w:rsidR="00D52262" w:rsidRPr="00EB4E01" w:rsidRDefault="00D52262" w:rsidP="00D52262">
      <w:pPr>
        <w:pStyle w:val="ConsPlusNormal"/>
        <w:jc w:val="both"/>
        <w:rPr>
          <w:b/>
          <w:bCs/>
          <w:sz w:val="20"/>
          <w:szCs w:val="20"/>
        </w:rPr>
      </w:pPr>
      <w:r w:rsidRPr="00EB4E01">
        <w:rPr>
          <w:rStyle w:val="ab"/>
          <w:sz w:val="20"/>
          <w:szCs w:val="20"/>
        </w:rPr>
        <w:footnoteRef/>
      </w:r>
      <w:r w:rsidRPr="00EB4E01">
        <w:rPr>
          <w:sz w:val="20"/>
          <w:szCs w:val="20"/>
        </w:rPr>
        <w:t xml:space="preserve"> Так, понятие «смежный рынок» встречается, например, в пункте 9.5 Порядка анализа состояния конкуренции.</w:t>
      </w:r>
    </w:p>
  </w:footnote>
  <w:footnote w:id="12">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Порядок установления доминирующего положения изложен ранее в пункте 1.3 настоящих Разъяснений.</w:t>
      </w:r>
    </w:p>
  </w:footnote>
  <w:footnote w:id="13">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Постановление Президиума Высшего Арбитражного Суда Российской Федерации  от 11.12.2012 № 3660/12.</w:t>
      </w:r>
    </w:p>
  </w:footnote>
  <w:footnote w:id="14">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Письмо ФАС России от 05.04.2007 № АЦ/4624; разъяснения ФАС России от 14.06.2012 «О порядке применения ст. 18 Федерального закона «О рекламе»; Обзор судебной практики Верховного Суда Российской Федерации за 1 квартал 2004 года.</w:t>
      </w:r>
    </w:p>
  </w:footnote>
  <w:footnote w:id="15">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Статья 39</w:t>
      </w:r>
      <w:r w:rsidRPr="00EB4E01">
        <w:rPr>
          <w:rFonts w:ascii="Times New Roman" w:hAnsi="Times New Roman"/>
          <w:vertAlign w:val="superscript"/>
        </w:rPr>
        <w:t>1</w:t>
      </w:r>
      <w:r w:rsidRPr="00EB4E01">
        <w:rPr>
          <w:rFonts w:ascii="Times New Roman" w:hAnsi="Times New Roman"/>
        </w:rPr>
        <w:t xml:space="preserve"> Закона о защите конкуренции в редакции Федерального закона от 05.10.2015 № 275-ФЗ «О внесении изменений в Федеральный закон «О защите конкуренции» и отдельные законодательные акты Российской Федерации».</w:t>
      </w:r>
    </w:p>
  </w:footnote>
  <w:footnote w:id="16">
    <w:p w:rsidR="00D52262" w:rsidRPr="00EB4E01" w:rsidRDefault="00D52262" w:rsidP="00D52262">
      <w:pPr>
        <w:pStyle w:val="ConsPlusNormal"/>
        <w:jc w:val="both"/>
        <w:rPr>
          <w:b/>
          <w:sz w:val="20"/>
          <w:szCs w:val="20"/>
        </w:rPr>
      </w:pPr>
      <w:r w:rsidRPr="00EB4E01">
        <w:rPr>
          <w:rStyle w:val="ab"/>
          <w:sz w:val="20"/>
          <w:szCs w:val="20"/>
        </w:rPr>
        <w:footnoteRef/>
      </w:r>
      <w:r>
        <w:rPr>
          <w:sz w:val="20"/>
          <w:szCs w:val="20"/>
          <w:lang w:val="en-US"/>
        </w:rPr>
        <w:t> </w:t>
      </w:r>
      <w:r w:rsidRPr="00EB4E01">
        <w:rPr>
          <w:sz w:val="20"/>
          <w:szCs w:val="20"/>
        </w:rPr>
        <w:t xml:space="preserve">Аналогичные выводы содержатся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 </w:t>
      </w:r>
      <w:r>
        <w:rPr>
          <w:sz w:val="20"/>
          <w:szCs w:val="20"/>
        </w:rPr>
        <w:t>16.03.2016</w:t>
      </w:r>
      <w:r w:rsidRPr="00EB4E01">
        <w:rPr>
          <w:sz w:val="20"/>
          <w:szCs w:val="20"/>
        </w:rPr>
        <w:t>.</w:t>
      </w:r>
    </w:p>
  </w:footnote>
  <w:footnote w:id="17">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Пункт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w:t>
      </w:r>
    </w:p>
  </w:footnote>
  <w:footnote w:id="18">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Практическое руководство по оценке ущерба в исках об убытках, причиненных нарушениями статей 101 или 102 Договора о функционировании ЕС.</w:t>
      </w:r>
    </w:p>
  </w:footnote>
  <w:footnote w:id="19">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зарубежной терминологии – </w:t>
      </w:r>
      <w:r w:rsidRPr="00D306B5">
        <w:rPr>
          <w:rFonts w:ascii="Times New Roman" w:hAnsi="Times New Roman"/>
          <w:sz w:val="18"/>
          <w:szCs w:val="18"/>
          <w:lang w:val="en-US"/>
        </w:rPr>
        <w:t>Pass</w:t>
      </w:r>
      <w:r w:rsidRPr="00D306B5">
        <w:rPr>
          <w:rFonts w:ascii="Times New Roman" w:hAnsi="Times New Roman"/>
          <w:sz w:val="18"/>
          <w:szCs w:val="18"/>
        </w:rPr>
        <w:t>-</w:t>
      </w:r>
      <w:r w:rsidRPr="00D306B5">
        <w:rPr>
          <w:rFonts w:ascii="Times New Roman" w:hAnsi="Times New Roman"/>
          <w:sz w:val="18"/>
          <w:szCs w:val="18"/>
          <w:lang w:val="en-US"/>
        </w:rPr>
        <w:t>on</w:t>
      </w:r>
      <w:r w:rsidRPr="00D306B5">
        <w:rPr>
          <w:rFonts w:ascii="Times New Roman" w:hAnsi="Times New Roman"/>
          <w:sz w:val="18"/>
          <w:szCs w:val="18"/>
        </w:rPr>
        <w:t xml:space="preserve">. Защита нарушителя, основанная на ссылках на перенос издержек пострадавшим лицом, именуется </w:t>
      </w:r>
      <w:r w:rsidRPr="00D306B5">
        <w:rPr>
          <w:rFonts w:ascii="Times New Roman" w:hAnsi="Times New Roman"/>
          <w:sz w:val="18"/>
          <w:szCs w:val="18"/>
          <w:lang w:val="en-US"/>
        </w:rPr>
        <w:t>Pass</w:t>
      </w:r>
      <w:r w:rsidRPr="00D306B5">
        <w:rPr>
          <w:rFonts w:ascii="Times New Roman" w:hAnsi="Times New Roman"/>
          <w:sz w:val="18"/>
          <w:szCs w:val="18"/>
        </w:rPr>
        <w:t>-</w:t>
      </w:r>
      <w:r w:rsidRPr="00D306B5">
        <w:rPr>
          <w:rFonts w:ascii="Times New Roman" w:hAnsi="Times New Roman"/>
          <w:sz w:val="18"/>
          <w:szCs w:val="18"/>
          <w:lang w:val="en-US"/>
        </w:rPr>
        <w:t>on</w:t>
      </w:r>
      <w:r w:rsidRPr="00D306B5">
        <w:rPr>
          <w:rFonts w:ascii="Times New Roman" w:hAnsi="Times New Roman"/>
          <w:sz w:val="18"/>
          <w:szCs w:val="18"/>
        </w:rPr>
        <w:t xml:space="preserve"> </w:t>
      </w:r>
      <w:r w:rsidRPr="00D306B5">
        <w:rPr>
          <w:rFonts w:ascii="Times New Roman" w:hAnsi="Times New Roman"/>
          <w:sz w:val="18"/>
          <w:szCs w:val="18"/>
          <w:lang w:val="en-US"/>
        </w:rPr>
        <w:t>defense</w:t>
      </w:r>
      <w:r w:rsidRPr="00D306B5">
        <w:rPr>
          <w:rFonts w:ascii="Times New Roman" w:hAnsi="Times New Roman"/>
          <w:sz w:val="18"/>
          <w:szCs w:val="18"/>
        </w:rPr>
        <w:t>.</w:t>
      </w:r>
    </w:p>
  </w:footnote>
  <w:footnote w:id="20">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литературе и практике используется термин </w:t>
      </w:r>
      <w:r w:rsidRPr="00D306B5">
        <w:rPr>
          <w:rFonts w:ascii="Times New Roman" w:hAnsi="Times New Roman"/>
          <w:i/>
          <w:sz w:val="18"/>
          <w:szCs w:val="18"/>
          <w:lang w:val="en-US"/>
        </w:rPr>
        <w:t>free</w:t>
      </w:r>
      <w:r w:rsidRPr="00D306B5">
        <w:rPr>
          <w:rFonts w:ascii="Times New Roman" w:hAnsi="Times New Roman"/>
          <w:i/>
          <w:sz w:val="18"/>
          <w:szCs w:val="18"/>
        </w:rPr>
        <w:t xml:space="preserve"> </w:t>
      </w:r>
      <w:r w:rsidRPr="00D306B5">
        <w:rPr>
          <w:rFonts w:ascii="Times New Roman" w:hAnsi="Times New Roman"/>
          <w:i/>
          <w:sz w:val="18"/>
          <w:szCs w:val="18"/>
          <w:lang w:val="en-US"/>
        </w:rPr>
        <w:t>cash</w:t>
      </w:r>
      <w:r w:rsidRPr="00D306B5">
        <w:rPr>
          <w:rFonts w:ascii="Times New Roman" w:hAnsi="Times New Roman"/>
          <w:i/>
          <w:sz w:val="18"/>
          <w:szCs w:val="18"/>
        </w:rPr>
        <w:t xml:space="preserve"> </w:t>
      </w:r>
      <w:r w:rsidRPr="00D306B5">
        <w:rPr>
          <w:rFonts w:ascii="Times New Roman" w:hAnsi="Times New Roman"/>
          <w:i/>
          <w:sz w:val="18"/>
          <w:szCs w:val="18"/>
          <w:lang w:val="en-US"/>
        </w:rPr>
        <w:t>flow</w:t>
      </w:r>
      <w:r w:rsidRPr="00D306B5">
        <w:rPr>
          <w:rFonts w:ascii="Times New Roman" w:hAnsi="Times New Roman"/>
          <w:sz w:val="18"/>
          <w:szCs w:val="18"/>
        </w:rPr>
        <w:t>.</w:t>
      </w:r>
    </w:p>
  </w:footnote>
  <w:footnote w:id="21">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Для оценки правомерности использования тех или иных эталонов сравнения или сопоставимости выбранных рынков необходимо использовать принципы, которые лежат в основе критерия сопоставимости рынков в части 1 статьи 6 Закона. В частности, структура рынка, уровень издержек, условия обращения товара, конкурентной борьбы, барьеры входа на рынок, регуляторная среда и т.д.</w:t>
      </w:r>
    </w:p>
  </w:footnote>
  <w:footnote w:id="22">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w:t>
      </w:r>
      <w:r w:rsidRPr="00D306B5">
        <w:rPr>
          <w:rFonts w:ascii="Times New Roman" w:hAnsi="Times New Roman"/>
          <w:sz w:val="18"/>
          <w:szCs w:val="18"/>
        </w:rPr>
        <w:tab/>
        <w:t xml:space="preserve">Детальное описание принципов регрессионного анализа выходит за рамки данного документа. Базовую информацию об эконометрике можно почерпнуть из следующих учебных пособий: J.M. </w:t>
      </w:r>
      <w:proofErr w:type="spellStart"/>
      <w:r w:rsidRPr="00D306B5">
        <w:rPr>
          <w:rFonts w:ascii="Times New Roman" w:hAnsi="Times New Roman"/>
          <w:sz w:val="18"/>
          <w:szCs w:val="18"/>
        </w:rPr>
        <w:t>Wooldridge</w:t>
      </w:r>
      <w:proofErr w:type="spellEnd"/>
      <w:r w:rsidRPr="00D306B5">
        <w:rPr>
          <w:rFonts w:ascii="Times New Roman" w:hAnsi="Times New Roman"/>
          <w:sz w:val="18"/>
          <w:szCs w:val="18"/>
        </w:rPr>
        <w:t xml:space="preserve"> </w:t>
      </w:r>
      <w:proofErr w:type="spellStart"/>
      <w:r w:rsidRPr="00D306B5">
        <w:rPr>
          <w:rFonts w:ascii="Times New Roman" w:hAnsi="Times New Roman"/>
          <w:i/>
          <w:sz w:val="18"/>
          <w:szCs w:val="18"/>
        </w:rPr>
        <w:t>Econometric</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Analysis</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of</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Cross</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Section</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and</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Panel</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Data</w:t>
      </w:r>
      <w:proofErr w:type="spellEnd"/>
      <w:r w:rsidRPr="00D306B5">
        <w:rPr>
          <w:rFonts w:ascii="Times New Roman" w:hAnsi="Times New Roman"/>
          <w:i/>
          <w:sz w:val="18"/>
          <w:szCs w:val="18"/>
        </w:rPr>
        <w:t>,</w:t>
      </w:r>
      <w:r w:rsidRPr="00D306B5">
        <w:rPr>
          <w:rFonts w:ascii="Times New Roman" w:hAnsi="Times New Roman"/>
          <w:sz w:val="18"/>
          <w:szCs w:val="18"/>
        </w:rPr>
        <w:t xml:space="preserve"> 2</w:t>
      </w:r>
      <w:r w:rsidRPr="00D306B5">
        <w:rPr>
          <w:rFonts w:ascii="Times New Roman" w:hAnsi="Times New Roman"/>
          <w:sz w:val="18"/>
          <w:szCs w:val="18"/>
          <w:vertAlign w:val="superscript"/>
        </w:rPr>
        <w:t>nd</w:t>
      </w:r>
      <w:r w:rsidRPr="00D306B5">
        <w:rPr>
          <w:rFonts w:ascii="Times New Roman" w:hAnsi="Times New Roman"/>
          <w:sz w:val="18"/>
          <w:szCs w:val="18"/>
        </w:rPr>
        <w:t xml:space="preserve"> </w:t>
      </w:r>
      <w:proofErr w:type="spellStart"/>
      <w:r w:rsidRPr="00D306B5">
        <w:rPr>
          <w:rFonts w:ascii="Times New Roman" w:hAnsi="Times New Roman"/>
          <w:sz w:val="18"/>
          <w:szCs w:val="18"/>
        </w:rPr>
        <w:t>edition</w:t>
      </w:r>
      <w:proofErr w:type="spellEnd"/>
      <w:r w:rsidRPr="00D306B5">
        <w:rPr>
          <w:rFonts w:ascii="Times New Roman" w:hAnsi="Times New Roman"/>
          <w:sz w:val="18"/>
          <w:szCs w:val="18"/>
        </w:rPr>
        <w:t xml:space="preserve">, MIT </w:t>
      </w:r>
      <w:proofErr w:type="spellStart"/>
      <w:r w:rsidRPr="00D306B5">
        <w:rPr>
          <w:rFonts w:ascii="Times New Roman" w:hAnsi="Times New Roman"/>
          <w:sz w:val="18"/>
          <w:szCs w:val="18"/>
        </w:rPr>
        <w:t>Press</w:t>
      </w:r>
      <w:proofErr w:type="spellEnd"/>
      <w:r w:rsidRPr="00D306B5">
        <w:rPr>
          <w:rFonts w:ascii="Times New Roman" w:hAnsi="Times New Roman"/>
          <w:sz w:val="18"/>
          <w:szCs w:val="18"/>
        </w:rPr>
        <w:t xml:space="preserve"> 2010, или </w:t>
      </w:r>
      <w:proofErr w:type="spellStart"/>
      <w:r w:rsidRPr="00D306B5">
        <w:rPr>
          <w:rFonts w:ascii="Times New Roman" w:hAnsi="Times New Roman"/>
          <w:bCs/>
          <w:sz w:val="18"/>
          <w:szCs w:val="18"/>
        </w:rPr>
        <w:t>Доугерти</w:t>
      </w:r>
      <w:proofErr w:type="spellEnd"/>
      <w:r w:rsidRPr="00D306B5">
        <w:rPr>
          <w:rFonts w:ascii="Times New Roman" w:hAnsi="Times New Roman"/>
          <w:bCs/>
          <w:sz w:val="18"/>
          <w:szCs w:val="18"/>
        </w:rPr>
        <w:t xml:space="preserve">, К. </w:t>
      </w:r>
      <w:r w:rsidRPr="00D306B5">
        <w:rPr>
          <w:rFonts w:ascii="Times New Roman" w:hAnsi="Times New Roman"/>
          <w:bCs/>
          <w:i/>
          <w:sz w:val="18"/>
          <w:szCs w:val="18"/>
        </w:rPr>
        <w:t>Введение в эконометрику</w:t>
      </w:r>
      <w:r w:rsidRPr="00D306B5">
        <w:rPr>
          <w:rFonts w:ascii="Times New Roman" w:hAnsi="Times New Roman"/>
          <w:bCs/>
          <w:sz w:val="18"/>
          <w:szCs w:val="18"/>
        </w:rPr>
        <w:t>. Издание второе. М.: Инфра-М., 2007</w:t>
      </w:r>
      <w:r w:rsidRPr="00D306B5">
        <w:rPr>
          <w:rFonts w:ascii="Times New Roman" w:hAnsi="Times New Roman"/>
          <w:sz w:val="18"/>
          <w:szCs w:val="18"/>
        </w:rPr>
        <w:t xml:space="preserve">.  </w:t>
      </w:r>
    </w:p>
  </w:footnote>
  <w:footnote w:id="23">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 xml:space="preserve">англоязычной </w:t>
      </w:r>
      <w:r w:rsidRPr="0008662E">
        <w:rPr>
          <w:rFonts w:ascii="Times New Roman" w:hAnsi="Times New Roman"/>
          <w:sz w:val="18"/>
          <w:szCs w:val="18"/>
        </w:rPr>
        <w:t>экономической литературе</w:t>
      </w:r>
      <w:r w:rsidRPr="00D306B5">
        <w:rPr>
          <w:rFonts w:ascii="Times New Roman" w:hAnsi="Times New Roman"/>
          <w:sz w:val="18"/>
          <w:szCs w:val="18"/>
        </w:rPr>
        <w:t xml:space="preserve"> используется термин </w:t>
      </w:r>
      <w:proofErr w:type="spellStart"/>
      <w:r w:rsidRPr="00D306B5">
        <w:rPr>
          <w:rFonts w:ascii="Times New Roman" w:hAnsi="Times New Roman"/>
          <w:i/>
          <w:sz w:val="18"/>
          <w:szCs w:val="18"/>
        </w:rPr>
        <w:t>difference</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in</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difference</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analysis</w:t>
      </w:r>
      <w:proofErr w:type="spellEnd"/>
      <w:r w:rsidRPr="00D306B5">
        <w:rPr>
          <w:rFonts w:ascii="Times New Roman" w:hAnsi="Times New Roman"/>
          <w:sz w:val="18"/>
          <w:szCs w:val="18"/>
        </w:rPr>
        <w:t>.</w:t>
      </w:r>
    </w:p>
  </w:footnote>
  <w:footnote w:id="24">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 </w:t>
      </w:r>
      <w:proofErr w:type="spellStart"/>
      <w:r w:rsidRPr="00D306B5">
        <w:rPr>
          <w:rFonts w:ascii="Times New Roman" w:hAnsi="Times New Roman"/>
          <w:i/>
          <w:sz w:val="18"/>
          <w:szCs w:val="18"/>
        </w:rPr>
        <w:t>economies</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of</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scale</w:t>
      </w:r>
      <w:proofErr w:type="spellEnd"/>
      <w:r w:rsidRPr="00D306B5">
        <w:rPr>
          <w:rFonts w:ascii="Times New Roman" w:hAnsi="Times New Roman"/>
          <w:sz w:val="18"/>
          <w:szCs w:val="18"/>
        </w:rPr>
        <w:t>. Под эффектом масштаба понимается ситуация, когда средние издержки на производство товара (услуги) снижаются с ростом объема производства. Соответственно, чем больше объем продаж, тем дешевле обходится производство одной единицы товара (услуги).</w:t>
      </w:r>
    </w:p>
  </w:footnote>
  <w:footnote w:id="25">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используется термин </w:t>
      </w:r>
      <w:proofErr w:type="spellStart"/>
      <w:r w:rsidRPr="00D306B5">
        <w:rPr>
          <w:rFonts w:ascii="Times New Roman" w:hAnsi="Times New Roman"/>
          <w:i/>
          <w:sz w:val="18"/>
          <w:szCs w:val="18"/>
        </w:rPr>
        <w:t>simulation</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models</w:t>
      </w:r>
      <w:proofErr w:type="spellEnd"/>
      <w:r w:rsidRPr="00D306B5">
        <w:rPr>
          <w:rFonts w:ascii="Times New Roman" w:hAnsi="Times New Roman"/>
          <w:sz w:val="18"/>
          <w:szCs w:val="18"/>
        </w:rPr>
        <w:t xml:space="preserve">. </w:t>
      </w:r>
    </w:p>
  </w:footnote>
  <w:footnote w:id="26">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Товар является однородным, если он практически не различается с технологической точки зрения или с точки зрения потребителей между разными производителями. Товар называется дифференцируемым, если имеются существенные качественные различия между предложениями разных производителей. </w:t>
      </w:r>
    </w:p>
  </w:footnote>
  <w:footnote w:id="27">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См., например, Ж. Тироль, </w:t>
      </w:r>
      <w:r w:rsidRPr="00D306B5">
        <w:rPr>
          <w:rFonts w:ascii="Times New Roman" w:hAnsi="Times New Roman"/>
          <w:i/>
          <w:sz w:val="18"/>
          <w:szCs w:val="18"/>
        </w:rPr>
        <w:t>Рынки и рыночная власть: теория организации промышленности</w:t>
      </w:r>
      <w:r w:rsidRPr="00D306B5">
        <w:rPr>
          <w:rFonts w:ascii="Times New Roman" w:hAnsi="Times New Roman"/>
          <w:sz w:val="18"/>
          <w:szCs w:val="18"/>
        </w:rPr>
        <w:t>, под редакцией В.М. Гальперина и Л.С. Тарасевича, Санкт-Петербург: Экономическая школа, 2000 г.</w:t>
      </w:r>
    </w:p>
  </w:footnote>
  <w:footnote w:id="28">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w:t>
      </w:r>
      <w:r w:rsidRPr="00BE2BE5">
        <w:rPr>
          <w:rFonts w:ascii="Times New Roman" w:hAnsi="Times New Roman"/>
          <w:sz w:val="18"/>
          <w:szCs w:val="18"/>
        </w:rPr>
        <w:t>экономической</w:t>
      </w:r>
      <w:r w:rsidRPr="00D306B5">
        <w:rPr>
          <w:rFonts w:ascii="Times New Roman" w:hAnsi="Times New Roman"/>
          <w:sz w:val="18"/>
          <w:szCs w:val="18"/>
        </w:rPr>
        <w:t xml:space="preserve"> литературе используются термины </w:t>
      </w:r>
      <w:proofErr w:type="spellStart"/>
      <w:r w:rsidRPr="00D306B5">
        <w:rPr>
          <w:rFonts w:ascii="Times New Roman" w:hAnsi="Times New Roman"/>
          <w:i/>
          <w:sz w:val="18"/>
          <w:szCs w:val="18"/>
        </w:rPr>
        <w:t>downstream</w:t>
      </w:r>
      <w:proofErr w:type="spellEnd"/>
      <w:r w:rsidRPr="00D306B5">
        <w:rPr>
          <w:rFonts w:ascii="Times New Roman" w:hAnsi="Times New Roman"/>
          <w:i/>
          <w:sz w:val="18"/>
          <w:szCs w:val="18"/>
        </w:rPr>
        <w:t xml:space="preserve"> </w:t>
      </w:r>
      <w:r w:rsidRPr="00D306B5">
        <w:rPr>
          <w:rFonts w:ascii="Times New Roman" w:hAnsi="Times New Roman"/>
          <w:sz w:val="18"/>
          <w:szCs w:val="18"/>
        </w:rPr>
        <w:t>и</w:t>
      </w:r>
      <w:r w:rsidRPr="00D306B5">
        <w:rPr>
          <w:rFonts w:ascii="Times New Roman" w:hAnsi="Times New Roman"/>
          <w:i/>
          <w:sz w:val="18"/>
          <w:szCs w:val="18"/>
        </w:rPr>
        <w:t xml:space="preserve"> </w:t>
      </w:r>
      <w:proofErr w:type="spellStart"/>
      <w:r w:rsidRPr="00D306B5">
        <w:rPr>
          <w:rFonts w:ascii="Times New Roman" w:hAnsi="Times New Roman"/>
          <w:i/>
          <w:sz w:val="18"/>
          <w:szCs w:val="18"/>
        </w:rPr>
        <w:t>upstream</w:t>
      </w:r>
      <w:proofErr w:type="spellEnd"/>
      <w:r w:rsidRPr="00D306B5">
        <w:rPr>
          <w:rFonts w:ascii="Times New Roman" w:hAnsi="Times New Roman"/>
          <w:sz w:val="18"/>
          <w:szCs w:val="18"/>
        </w:rPr>
        <w:t>, соответственно</w:t>
      </w:r>
      <w:r w:rsidRPr="00D306B5">
        <w:rPr>
          <w:rFonts w:ascii="Times New Roman" w:hAnsi="Times New Roman"/>
          <w:i/>
          <w:sz w:val="18"/>
          <w:szCs w:val="18"/>
        </w:rPr>
        <w:t>.</w:t>
      </w:r>
    </w:p>
  </w:footnote>
  <w:footnote w:id="29">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w:t>
      </w:r>
      <w:r w:rsidRPr="00BE2BE5">
        <w:rPr>
          <w:rFonts w:ascii="Times New Roman" w:hAnsi="Times New Roman"/>
          <w:sz w:val="18"/>
          <w:szCs w:val="18"/>
        </w:rPr>
        <w:t>экономической</w:t>
      </w:r>
      <w:r w:rsidRPr="00D306B5">
        <w:rPr>
          <w:rFonts w:ascii="Times New Roman" w:hAnsi="Times New Roman"/>
          <w:sz w:val="18"/>
          <w:szCs w:val="18"/>
        </w:rPr>
        <w:t xml:space="preserve"> литературе используются термины </w:t>
      </w:r>
      <w:proofErr w:type="spellStart"/>
      <w:r w:rsidRPr="00D306B5">
        <w:rPr>
          <w:rFonts w:ascii="Times New Roman" w:hAnsi="Times New Roman"/>
          <w:i/>
          <w:sz w:val="18"/>
          <w:szCs w:val="18"/>
        </w:rPr>
        <w:t>direct</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customers</w:t>
      </w:r>
      <w:proofErr w:type="spellEnd"/>
      <w:r w:rsidRPr="00D306B5">
        <w:rPr>
          <w:rFonts w:ascii="Times New Roman" w:hAnsi="Times New Roman"/>
          <w:i/>
          <w:sz w:val="18"/>
          <w:szCs w:val="18"/>
        </w:rPr>
        <w:t>.</w:t>
      </w:r>
    </w:p>
  </w:footnote>
  <w:footnote w:id="30">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термины </w:t>
      </w:r>
      <w:proofErr w:type="spellStart"/>
      <w:r w:rsidRPr="00D306B5">
        <w:rPr>
          <w:rFonts w:ascii="Times New Roman" w:hAnsi="Times New Roman"/>
          <w:i/>
          <w:sz w:val="18"/>
          <w:szCs w:val="18"/>
        </w:rPr>
        <w:t>overcharge</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effect</w:t>
      </w:r>
      <w:proofErr w:type="spellEnd"/>
      <w:r w:rsidRPr="00D306B5">
        <w:rPr>
          <w:rFonts w:ascii="Times New Roman" w:hAnsi="Times New Roman"/>
          <w:sz w:val="18"/>
          <w:szCs w:val="18"/>
        </w:rPr>
        <w:t>,</w:t>
      </w:r>
      <w:r w:rsidRPr="00D306B5">
        <w:rPr>
          <w:rFonts w:ascii="Times New Roman" w:hAnsi="Times New Roman"/>
          <w:i/>
          <w:sz w:val="18"/>
          <w:szCs w:val="18"/>
        </w:rPr>
        <w:t xml:space="preserve"> </w:t>
      </w:r>
      <w:proofErr w:type="spellStart"/>
      <w:r w:rsidRPr="00D306B5">
        <w:rPr>
          <w:rFonts w:ascii="Times New Roman" w:hAnsi="Times New Roman"/>
          <w:i/>
          <w:sz w:val="18"/>
          <w:szCs w:val="18"/>
        </w:rPr>
        <w:t>volume</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effect</w:t>
      </w:r>
      <w:proofErr w:type="spellEnd"/>
      <w:r w:rsidRPr="00D306B5">
        <w:rPr>
          <w:rFonts w:ascii="Times New Roman" w:hAnsi="Times New Roman"/>
          <w:i/>
          <w:sz w:val="18"/>
          <w:szCs w:val="18"/>
        </w:rPr>
        <w:t xml:space="preserve"> </w:t>
      </w:r>
      <w:r w:rsidRPr="00D306B5">
        <w:rPr>
          <w:rFonts w:ascii="Times New Roman" w:hAnsi="Times New Roman"/>
          <w:sz w:val="18"/>
          <w:szCs w:val="18"/>
        </w:rPr>
        <w:t xml:space="preserve">и </w:t>
      </w:r>
      <w:proofErr w:type="spellStart"/>
      <w:r w:rsidRPr="00D306B5">
        <w:rPr>
          <w:rFonts w:ascii="Times New Roman" w:hAnsi="Times New Roman"/>
          <w:i/>
          <w:sz w:val="18"/>
          <w:szCs w:val="18"/>
        </w:rPr>
        <w:t>pass-on</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effect</w:t>
      </w:r>
      <w:proofErr w:type="spellEnd"/>
      <w:r w:rsidRPr="00D306B5">
        <w:rPr>
          <w:rFonts w:ascii="Times New Roman" w:hAnsi="Times New Roman"/>
          <w:sz w:val="18"/>
          <w:szCs w:val="18"/>
        </w:rPr>
        <w:t>, соответственно.</w:t>
      </w:r>
    </w:p>
  </w:footnote>
  <w:footnote w:id="31">
    <w:p w:rsidR="00DB066E" w:rsidRPr="005D22E1" w:rsidRDefault="00DB066E" w:rsidP="00DB066E">
      <w:pPr>
        <w:pStyle w:val="a9"/>
        <w:tabs>
          <w:tab w:val="left" w:pos="0"/>
        </w:tabs>
        <w:ind w:firstLine="709"/>
        <w:jc w:val="both"/>
        <w:rPr>
          <w:rFonts w:ascii="Times New Roman" w:hAnsi="Times New Roman"/>
          <w:sz w:val="18"/>
          <w:szCs w:val="18"/>
          <w:lang w:val="en-US"/>
        </w:rPr>
      </w:pPr>
      <w:r w:rsidRPr="00D306B5">
        <w:rPr>
          <w:rStyle w:val="ab"/>
          <w:rFonts w:ascii="Times New Roman" w:hAnsi="Times New Roman"/>
          <w:sz w:val="18"/>
          <w:szCs w:val="18"/>
        </w:rPr>
        <w:footnoteRef/>
      </w:r>
      <w:r w:rsidRPr="005D22E1">
        <w:rPr>
          <w:rFonts w:ascii="Times New Roman" w:hAnsi="Times New Roman"/>
          <w:sz w:val="18"/>
          <w:szCs w:val="18"/>
          <w:lang w:val="en-US"/>
        </w:rPr>
        <w:t xml:space="preserve"> </w:t>
      </w:r>
      <w:r w:rsidRPr="00D306B5">
        <w:rPr>
          <w:rFonts w:ascii="Times New Roman" w:hAnsi="Times New Roman"/>
          <w:sz w:val="18"/>
          <w:szCs w:val="18"/>
        </w:rPr>
        <w:t>См</w:t>
      </w:r>
      <w:r w:rsidRPr="005D22E1">
        <w:rPr>
          <w:rFonts w:ascii="Times New Roman" w:hAnsi="Times New Roman"/>
          <w:sz w:val="18"/>
          <w:szCs w:val="18"/>
          <w:lang w:val="en-US"/>
        </w:rPr>
        <w:t xml:space="preserve">., </w:t>
      </w:r>
      <w:r w:rsidRPr="00D306B5">
        <w:rPr>
          <w:rFonts w:ascii="Times New Roman" w:hAnsi="Times New Roman"/>
          <w:sz w:val="18"/>
          <w:szCs w:val="18"/>
        </w:rPr>
        <w:t>например</w:t>
      </w:r>
      <w:r w:rsidRPr="005D22E1">
        <w:rPr>
          <w:rFonts w:ascii="Times New Roman" w:hAnsi="Times New Roman"/>
          <w:sz w:val="18"/>
          <w:szCs w:val="18"/>
          <w:lang w:val="en-US"/>
        </w:rPr>
        <w:t xml:space="preserve">, A. </w:t>
      </w:r>
      <w:proofErr w:type="spellStart"/>
      <w:r w:rsidRPr="005D22E1">
        <w:rPr>
          <w:rFonts w:ascii="Times New Roman" w:hAnsi="Times New Roman"/>
          <w:sz w:val="18"/>
          <w:szCs w:val="18"/>
          <w:lang w:val="en-US"/>
        </w:rPr>
        <w:t>Mas-Colell</w:t>
      </w:r>
      <w:proofErr w:type="spellEnd"/>
      <w:r w:rsidRPr="005D22E1">
        <w:rPr>
          <w:rFonts w:ascii="Times New Roman" w:hAnsi="Times New Roman"/>
          <w:sz w:val="18"/>
          <w:szCs w:val="18"/>
          <w:lang w:val="en-US"/>
        </w:rPr>
        <w:t xml:space="preserve">, M.D. </w:t>
      </w:r>
      <w:proofErr w:type="spellStart"/>
      <w:r w:rsidRPr="005D22E1">
        <w:rPr>
          <w:rFonts w:ascii="Times New Roman" w:hAnsi="Times New Roman"/>
          <w:sz w:val="18"/>
          <w:szCs w:val="18"/>
          <w:lang w:val="en-US"/>
        </w:rPr>
        <w:t>Whinston</w:t>
      </w:r>
      <w:proofErr w:type="spellEnd"/>
      <w:r w:rsidRPr="005D22E1">
        <w:rPr>
          <w:rFonts w:ascii="Times New Roman" w:hAnsi="Times New Roman"/>
          <w:sz w:val="18"/>
          <w:szCs w:val="18"/>
          <w:lang w:val="en-US"/>
        </w:rPr>
        <w:t xml:space="preserve">, J.R. Green, </w:t>
      </w:r>
      <w:r w:rsidRPr="005D22E1">
        <w:rPr>
          <w:rFonts w:ascii="Times New Roman" w:hAnsi="Times New Roman"/>
          <w:i/>
          <w:sz w:val="18"/>
          <w:szCs w:val="18"/>
          <w:lang w:val="en-US"/>
        </w:rPr>
        <w:t>Microeconomic Theory</w:t>
      </w:r>
      <w:r w:rsidRPr="005D22E1">
        <w:rPr>
          <w:rFonts w:ascii="Times New Roman" w:hAnsi="Times New Roman"/>
          <w:sz w:val="18"/>
          <w:szCs w:val="18"/>
          <w:lang w:val="en-US"/>
        </w:rPr>
        <w:t xml:space="preserve">, Oxford University Press, 1995, </w:t>
      </w:r>
      <w:r w:rsidRPr="00D306B5">
        <w:rPr>
          <w:rFonts w:ascii="Times New Roman" w:hAnsi="Times New Roman"/>
          <w:sz w:val="18"/>
          <w:szCs w:val="18"/>
        </w:rPr>
        <w:t>главы</w:t>
      </w:r>
      <w:r w:rsidRPr="005D22E1">
        <w:rPr>
          <w:rFonts w:ascii="Times New Roman" w:hAnsi="Times New Roman"/>
          <w:sz w:val="18"/>
          <w:szCs w:val="18"/>
          <w:lang w:val="en-US"/>
        </w:rPr>
        <w:t xml:space="preserve"> 2 </w:t>
      </w:r>
      <w:r w:rsidRPr="00D306B5">
        <w:rPr>
          <w:rFonts w:ascii="Times New Roman" w:hAnsi="Times New Roman"/>
          <w:sz w:val="18"/>
          <w:szCs w:val="18"/>
        </w:rPr>
        <w:t>и</w:t>
      </w:r>
      <w:r w:rsidRPr="005D22E1">
        <w:rPr>
          <w:rFonts w:ascii="Times New Roman" w:hAnsi="Times New Roman"/>
          <w:sz w:val="18"/>
          <w:szCs w:val="18"/>
          <w:lang w:val="en-US"/>
        </w:rPr>
        <w:t xml:space="preserve"> 3.</w:t>
      </w:r>
    </w:p>
  </w:footnote>
  <w:footnote w:id="32">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литературе используется термин </w:t>
      </w:r>
      <w:proofErr w:type="spellStart"/>
      <w:r w:rsidRPr="00D306B5">
        <w:rPr>
          <w:rFonts w:ascii="Times New Roman" w:hAnsi="Times New Roman"/>
          <w:i/>
          <w:sz w:val="18"/>
          <w:szCs w:val="18"/>
        </w:rPr>
        <w:t>deadweight</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loss</w:t>
      </w:r>
      <w:proofErr w:type="spellEnd"/>
      <w:r w:rsidRPr="00D306B5">
        <w:rPr>
          <w:rFonts w:ascii="Times New Roman" w:hAnsi="Times New Roman"/>
          <w:sz w:val="18"/>
          <w:szCs w:val="18"/>
        </w:rPr>
        <w:t>.</w:t>
      </w:r>
    </w:p>
  </w:footnote>
  <w:footnote w:id="33">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литературе используется термин </w:t>
      </w:r>
      <w:proofErr w:type="spellStart"/>
      <w:r w:rsidRPr="00D306B5">
        <w:rPr>
          <w:rFonts w:ascii="Times New Roman" w:hAnsi="Times New Roman"/>
          <w:i/>
          <w:sz w:val="18"/>
          <w:szCs w:val="18"/>
        </w:rPr>
        <w:t>umbrella</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customers</w:t>
      </w:r>
      <w:proofErr w:type="spellEnd"/>
      <w:r w:rsidRPr="00D306B5">
        <w:rPr>
          <w:rFonts w:ascii="Times New Roman" w:hAnsi="Times New Roman"/>
          <w:sz w:val="18"/>
          <w:szCs w:val="18"/>
        </w:rPr>
        <w:t>.</w:t>
      </w:r>
    </w:p>
  </w:footnote>
  <w:footnote w:id="34">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термины </w:t>
      </w:r>
      <w:proofErr w:type="spellStart"/>
      <w:r w:rsidRPr="00D306B5">
        <w:rPr>
          <w:rFonts w:ascii="Times New Roman" w:hAnsi="Times New Roman"/>
          <w:i/>
          <w:sz w:val="18"/>
          <w:szCs w:val="18"/>
        </w:rPr>
        <w:t>bundling</w:t>
      </w:r>
      <w:proofErr w:type="spellEnd"/>
      <w:r w:rsidRPr="00D306B5">
        <w:rPr>
          <w:rFonts w:ascii="Times New Roman" w:hAnsi="Times New Roman"/>
          <w:i/>
          <w:sz w:val="18"/>
          <w:szCs w:val="18"/>
        </w:rPr>
        <w:t xml:space="preserve"> и </w:t>
      </w:r>
      <w:proofErr w:type="spellStart"/>
      <w:r w:rsidRPr="00D306B5">
        <w:rPr>
          <w:rFonts w:ascii="Times New Roman" w:hAnsi="Times New Roman"/>
          <w:i/>
          <w:sz w:val="18"/>
          <w:szCs w:val="18"/>
        </w:rPr>
        <w:t>tying</w:t>
      </w:r>
      <w:proofErr w:type="spellEnd"/>
      <w:r w:rsidRPr="00D306B5">
        <w:rPr>
          <w:rFonts w:ascii="Times New Roman" w:hAnsi="Times New Roman"/>
          <w:sz w:val="18"/>
          <w:szCs w:val="18"/>
        </w:rPr>
        <w:t>.</w:t>
      </w:r>
    </w:p>
  </w:footnote>
  <w:footnote w:id="35">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 </w:t>
      </w:r>
      <w:proofErr w:type="spellStart"/>
      <w:r w:rsidRPr="00D306B5">
        <w:rPr>
          <w:rFonts w:ascii="Times New Roman" w:hAnsi="Times New Roman"/>
          <w:i/>
          <w:sz w:val="18"/>
          <w:szCs w:val="18"/>
        </w:rPr>
        <w:t>economies</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of</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scale</w:t>
      </w:r>
      <w:proofErr w:type="spellEnd"/>
      <w:r w:rsidRPr="00D306B5">
        <w:rPr>
          <w:rFonts w:ascii="Times New Roman" w:hAnsi="Times New Roman"/>
          <w:sz w:val="18"/>
          <w:szCs w:val="18"/>
        </w:rPr>
        <w:t>. Под эффектом масштаба понимается ситуация, когда средние издержки на производство товара (услуги) снижаются с ростом объема производства. Соответственно, чем больше объем продаж, тем дешевле обходится производство одной единицы товара (услуги).</w:t>
      </w:r>
    </w:p>
  </w:footnote>
  <w:footnote w:id="36">
    <w:p w:rsidR="00DB066E" w:rsidRPr="00F73F4A" w:rsidRDefault="00DB066E" w:rsidP="00DB066E">
      <w:pPr>
        <w:pStyle w:val="a9"/>
        <w:tabs>
          <w:tab w:val="left" w:pos="0"/>
        </w:tabs>
        <w:ind w:firstLine="709"/>
        <w:jc w:val="both"/>
        <w:rPr>
          <w:rFonts w:cs="Arial"/>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 </w:t>
      </w:r>
      <w:proofErr w:type="spellStart"/>
      <w:r w:rsidRPr="00D306B5">
        <w:rPr>
          <w:rFonts w:ascii="Times New Roman" w:hAnsi="Times New Roman"/>
          <w:i/>
          <w:sz w:val="18"/>
          <w:szCs w:val="18"/>
        </w:rPr>
        <w:t>network</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effects</w:t>
      </w:r>
      <w:proofErr w:type="spellEnd"/>
      <w:r w:rsidRPr="00D306B5">
        <w:rPr>
          <w:rFonts w:ascii="Times New Roman" w:hAnsi="Times New Roman"/>
          <w:sz w:val="18"/>
          <w:szCs w:val="18"/>
        </w:rPr>
        <w:t>. Под сетевым эффектом понимается ситуация, когда товар (услуга) тем более ценны, чем больше пользователей у данного товара (услуги). Соответственно, рентабельность возрастает с ростом доли рынка. И наоборот, падение доли рынка приводит к падению рентабельности.</w:t>
      </w:r>
    </w:p>
  </w:footnote>
  <w:footnote w:id="37">
    <w:p w:rsidR="00DB066E" w:rsidRPr="00530F4C"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530F4C">
        <w:rPr>
          <w:rFonts w:ascii="Times New Roman" w:hAnsi="Times New Roman"/>
          <w:sz w:val="18"/>
          <w:szCs w:val="18"/>
        </w:rPr>
        <w:t xml:space="preserve"> </w:t>
      </w:r>
      <w:r>
        <w:rPr>
          <w:rFonts w:ascii="Times New Roman" w:hAnsi="Times New Roman"/>
          <w:sz w:val="18"/>
          <w:szCs w:val="18"/>
        </w:rPr>
        <w:t xml:space="preserve">В данном примере в оценку убытков положено сравнение фактической и </w:t>
      </w:r>
      <w:proofErr w:type="spellStart"/>
      <w:r>
        <w:rPr>
          <w:rFonts w:ascii="Times New Roman" w:hAnsi="Times New Roman"/>
          <w:sz w:val="18"/>
          <w:szCs w:val="18"/>
        </w:rPr>
        <w:t>контрфактуальной</w:t>
      </w:r>
      <w:proofErr w:type="spellEnd"/>
      <w:r>
        <w:rPr>
          <w:rFonts w:ascii="Times New Roman" w:hAnsi="Times New Roman"/>
          <w:sz w:val="18"/>
          <w:szCs w:val="18"/>
        </w:rPr>
        <w:t xml:space="preserve"> прибыли. Аналогичные расчеты можно производить и на основе денежных потоков компании.  Оба подхода приводят к одним и теме же результатам по оценке убытков.</w:t>
      </w:r>
    </w:p>
  </w:footnote>
  <w:footnote w:id="38">
    <w:p w:rsidR="00DB066E" w:rsidRPr="005D22E1"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5D22E1">
        <w:rPr>
          <w:rFonts w:ascii="Times New Roman" w:hAnsi="Times New Roman"/>
          <w:sz w:val="18"/>
          <w:szCs w:val="18"/>
        </w:rPr>
        <w:t xml:space="preserve"> </w:t>
      </w:r>
      <w:r>
        <w:rPr>
          <w:rFonts w:ascii="Times New Roman" w:hAnsi="Times New Roman"/>
          <w:sz w:val="18"/>
          <w:szCs w:val="18"/>
        </w:rPr>
        <w:t xml:space="preserve">Подходы по расчету </w:t>
      </w:r>
      <w:proofErr w:type="spellStart"/>
      <w:r>
        <w:rPr>
          <w:rFonts w:ascii="Times New Roman" w:hAnsi="Times New Roman"/>
          <w:sz w:val="18"/>
          <w:szCs w:val="18"/>
        </w:rPr>
        <w:t>контрфактуальной</w:t>
      </w:r>
      <w:proofErr w:type="spellEnd"/>
      <w:r>
        <w:rPr>
          <w:rFonts w:ascii="Times New Roman" w:hAnsi="Times New Roman"/>
          <w:sz w:val="18"/>
          <w:szCs w:val="18"/>
        </w:rPr>
        <w:t xml:space="preserve"> прибыли рассмотрены в Разделе 2.2.</w:t>
      </w:r>
    </w:p>
  </w:footnote>
  <w:footnote w:id="39">
    <w:p w:rsidR="00DB066E" w:rsidRPr="00530F4C"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530F4C">
        <w:rPr>
          <w:rFonts w:ascii="Times New Roman" w:hAnsi="Times New Roman"/>
          <w:sz w:val="18"/>
          <w:szCs w:val="18"/>
        </w:rPr>
        <w:t xml:space="preserve"> </w:t>
      </w:r>
      <w:r>
        <w:rPr>
          <w:rFonts w:ascii="Times New Roman" w:hAnsi="Times New Roman"/>
          <w:sz w:val="18"/>
          <w:szCs w:val="18"/>
        </w:rPr>
        <w:t xml:space="preserve">В данном примере в оценку убытков положено сравнение фактической и </w:t>
      </w:r>
      <w:proofErr w:type="spellStart"/>
      <w:r>
        <w:rPr>
          <w:rFonts w:ascii="Times New Roman" w:hAnsi="Times New Roman"/>
          <w:sz w:val="18"/>
          <w:szCs w:val="18"/>
        </w:rPr>
        <w:t>контрфактуальной</w:t>
      </w:r>
      <w:proofErr w:type="spellEnd"/>
      <w:r>
        <w:rPr>
          <w:rFonts w:ascii="Times New Roman" w:hAnsi="Times New Roman"/>
          <w:sz w:val="18"/>
          <w:szCs w:val="18"/>
        </w:rPr>
        <w:t xml:space="preserve"> прибыли. Аналогичные расчеты можно производить и на основе денежных потоков компании. Оба подхода приводят к одним и теме же результатам по оценке убытков.</w:t>
      </w:r>
    </w:p>
  </w:footnote>
  <w:footnote w:id="40">
    <w:p w:rsidR="00DB066E" w:rsidRPr="00530F4C"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530F4C">
        <w:rPr>
          <w:rFonts w:ascii="Times New Roman" w:hAnsi="Times New Roman"/>
          <w:sz w:val="18"/>
          <w:szCs w:val="18"/>
        </w:rPr>
        <w:t xml:space="preserve"> </w:t>
      </w:r>
      <w:r>
        <w:rPr>
          <w:rFonts w:ascii="Times New Roman" w:hAnsi="Times New Roman"/>
          <w:sz w:val="18"/>
          <w:szCs w:val="18"/>
        </w:rPr>
        <w:t xml:space="preserve">Подходы по расчету </w:t>
      </w:r>
      <w:proofErr w:type="spellStart"/>
      <w:r>
        <w:rPr>
          <w:rFonts w:ascii="Times New Roman" w:hAnsi="Times New Roman"/>
          <w:sz w:val="18"/>
          <w:szCs w:val="18"/>
        </w:rPr>
        <w:t>контрфактуальной</w:t>
      </w:r>
      <w:proofErr w:type="spellEnd"/>
      <w:r>
        <w:rPr>
          <w:rFonts w:ascii="Times New Roman" w:hAnsi="Times New Roman"/>
          <w:sz w:val="18"/>
          <w:szCs w:val="18"/>
        </w:rPr>
        <w:t xml:space="preserve"> прибыли рассмотрены в Разделе 2.2.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50E89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846A3C"/>
    <w:multiLevelType w:val="hybridMultilevel"/>
    <w:tmpl w:val="76984B5E"/>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4">
    <w:nsid w:val="022D339D"/>
    <w:multiLevelType w:val="hybridMultilevel"/>
    <w:tmpl w:val="790C6712"/>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5">
    <w:nsid w:val="038B1E43"/>
    <w:multiLevelType w:val="multilevel"/>
    <w:tmpl w:val="8FD2EF7A"/>
    <w:lvl w:ilvl="0">
      <w:start w:val="1"/>
      <w:numFmt w:val="decimal"/>
      <w:lvlText w:val="%1."/>
      <w:lvlJc w:val="left"/>
      <w:pPr>
        <w:ind w:left="502" w:hanging="360"/>
      </w:pPr>
      <w:rPr>
        <w:rFonts w:hint="default"/>
      </w:rPr>
    </w:lvl>
    <w:lvl w:ilvl="1">
      <w:start w:val="3"/>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6">
    <w:nsid w:val="04FD1E68"/>
    <w:multiLevelType w:val="hybridMultilevel"/>
    <w:tmpl w:val="4838FBEC"/>
    <w:lvl w:ilvl="0" w:tplc="08090011">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651089A"/>
    <w:multiLevelType w:val="hybridMultilevel"/>
    <w:tmpl w:val="528C5134"/>
    <w:lvl w:ilvl="0" w:tplc="08090011">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455F4E"/>
    <w:multiLevelType w:val="hybridMultilevel"/>
    <w:tmpl w:val="10B2FCD0"/>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9">
    <w:nsid w:val="0B5E575A"/>
    <w:multiLevelType w:val="hybridMultilevel"/>
    <w:tmpl w:val="9CCE0B28"/>
    <w:lvl w:ilvl="0" w:tplc="08090011">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29490D"/>
    <w:multiLevelType w:val="hybridMultilevel"/>
    <w:tmpl w:val="76C4C946"/>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1">
    <w:nsid w:val="16DC29AE"/>
    <w:multiLevelType w:val="multilevel"/>
    <w:tmpl w:val="494444DC"/>
    <w:lvl w:ilvl="0">
      <w:start w:val="1"/>
      <w:numFmt w:val="bullet"/>
      <w:pStyle w:val="Style1"/>
      <w:lvlText w:val=""/>
      <w:lvlJc w:val="left"/>
      <w:pPr>
        <w:tabs>
          <w:tab w:val="num" w:pos="284"/>
        </w:tabs>
        <w:ind w:left="284" w:hanging="284"/>
      </w:pPr>
      <w:rPr>
        <w:rFonts w:ascii="Symbol" w:hAnsi="Symbol" w:hint="default"/>
        <w:color w:val="auto"/>
      </w:rPr>
    </w:lvl>
    <w:lvl w:ilvl="1">
      <w:start w:val="1"/>
      <w:numFmt w:val="lowerLetter"/>
      <w:lvlText w:val="%2)"/>
      <w:lvlJc w:val="left"/>
      <w:pPr>
        <w:tabs>
          <w:tab w:val="num" w:pos="568"/>
        </w:tabs>
        <w:ind w:left="568" w:hanging="284"/>
      </w:pPr>
      <w:rPr>
        <w:rFonts w:hint="default"/>
      </w:rPr>
    </w:lvl>
    <w:lvl w:ilvl="2">
      <w:start w:val="1"/>
      <w:numFmt w:val="lowerRoman"/>
      <w:lvlText w:val="%3)"/>
      <w:lvlJc w:val="left"/>
      <w:pPr>
        <w:tabs>
          <w:tab w:val="num" w:pos="852"/>
        </w:tabs>
        <w:ind w:left="852" w:hanging="284"/>
      </w:pPr>
      <w:rPr>
        <w:rFonts w:hint="default"/>
      </w:rPr>
    </w:lvl>
    <w:lvl w:ilvl="3">
      <w:start w:val="1"/>
      <w:numFmt w:val="decimal"/>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12">
    <w:nsid w:val="182C7808"/>
    <w:multiLevelType w:val="hybridMultilevel"/>
    <w:tmpl w:val="4CF49856"/>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606A2F"/>
    <w:multiLevelType w:val="hybridMultilevel"/>
    <w:tmpl w:val="761C9EAC"/>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406" w:hanging="360"/>
      </w:pPr>
      <w:rPr>
        <w:rFonts w:ascii="Courier New" w:hAnsi="Courier New" w:cs="Courier New" w:hint="default"/>
      </w:rPr>
    </w:lvl>
    <w:lvl w:ilvl="2" w:tplc="04190005" w:tentative="1">
      <w:start w:val="1"/>
      <w:numFmt w:val="bullet"/>
      <w:lvlText w:val=""/>
      <w:lvlJc w:val="left"/>
      <w:pPr>
        <w:ind w:left="3126" w:hanging="360"/>
      </w:pPr>
      <w:rPr>
        <w:rFonts w:ascii="Wingdings" w:hAnsi="Wingdings" w:hint="default"/>
      </w:rPr>
    </w:lvl>
    <w:lvl w:ilvl="3" w:tplc="04190001" w:tentative="1">
      <w:start w:val="1"/>
      <w:numFmt w:val="bullet"/>
      <w:lvlText w:val=""/>
      <w:lvlJc w:val="left"/>
      <w:pPr>
        <w:ind w:left="3846" w:hanging="360"/>
      </w:pPr>
      <w:rPr>
        <w:rFonts w:ascii="Symbol" w:hAnsi="Symbol" w:hint="default"/>
      </w:rPr>
    </w:lvl>
    <w:lvl w:ilvl="4" w:tplc="04190003" w:tentative="1">
      <w:start w:val="1"/>
      <w:numFmt w:val="bullet"/>
      <w:lvlText w:val="o"/>
      <w:lvlJc w:val="left"/>
      <w:pPr>
        <w:ind w:left="4566" w:hanging="360"/>
      </w:pPr>
      <w:rPr>
        <w:rFonts w:ascii="Courier New" w:hAnsi="Courier New" w:cs="Courier New" w:hint="default"/>
      </w:rPr>
    </w:lvl>
    <w:lvl w:ilvl="5" w:tplc="04190005" w:tentative="1">
      <w:start w:val="1"/>
      <w:numFmt w:val="bullet"/>
      <w:lvlText w:val=""/>
      <w:lvlJc w:val="left"/>
      <w:pPr>
        <w:ind w:left="5286" w:hanging="360"/>
      </w:pPr>
      <w:rPr>
        <w:rFonts w:ascii="Wingdings" w:hAnsi="Wingdings" w:hint="default"/>
      </w:rPr>
    </w:lvl>
    <w:lvl w:ilvl="6" w:tplc="04190001" w:tentative="1">
      <w:start w:val="1"/>
      <w:numFmt w:val="bullet"/>
      <w:lvlText w:val=""/>
      <w:lvlJc w:val="left"/>
      <w:pPr>
        <w:ind w:left="6006" w:hanging="360"/>
      </w:pPr>
      <w:rPr>
        <w:rFonts w:ascii="Symbol" w:hAnsi="Symbol" w:hint="default"/>
      </w:rPr>
    </w:lvl>
    <w:lvl w:ilvl="7" w:tplc="04190003" w:tentative="1">
      <w:start w:val="1"/>
      <w:numFmt w:val="bullet"/>
      <w:lvlText w:val="o"/>
      <w:lvlJc w:val="left"/>
      <w:pPr>
        <w:ind w:left="6726" w:hanging="360"/>
      </w:pPr>
      <w:rPr>
        <w:rFonts w:ascii="Courier New" w:hAnsi="Courier New" w:cs="Courier New" w:hint="default"/>
      </w:rPr>
    </w:lvl>
    <w:lvl w:ilvl="8" w:tplc="04190005" w:tentative="1">
      <w:start w:val="1"/>
      <w:numFmt w:val="bullet"/>
      <w:lvlText w:val=""/>
      <w:lvlJc w:val="left"/>
      <w:pPr>
        <w:ind w:left="7446" w:hanging="360"/>
      </w:pPr>
      <w:rPr>
        <w:rFonts w:ascii="Wingdings" w:hAnsi="Wingdings" w:hint="default"/>
      </w:rPr>
    </w:lvl>
  </w:abstractNum>
  <w:abstractNum w:abstractNumId="15">
    <w:nsid w:val="21FD0E97"/>
    <w:multiLevelType w:val="hybridMultilevel"/>
    <w:tmpl w:val="DA7A2C5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27C2579"/>
    <w:multiLevelType w:val="multilevel"/>
    <w:tmpl w:val="8D64B28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24591275"/>
    <w:multiLevelType w:val="hybridMultilevel"/>
    <w:tmpl w:val="8982A6E6"/>
    <w:lvl w:ilvl="0" w:tplc="05B8C418">
      <w:start w:val="1"/>
      <w:numFmt w:val="bullet"/>
      <w:pStyle w:val="RBBBullet2"/>
      <w:lvlText w:val="–"/>
      <w:lvlJc w:val="left"/>
      <w:pPr>
        <w:ind w:left="1211"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F066E3"/>
    <w:multiLevelType w:val="hybridMultilevel"/>
    <w:tmpl w:val="81448116"/>
    <w:lvl w:ilvl="0" w:tplc="B69069E6">
      <w:start w:val="1"/>
      <w:numFmt w:val="decimal"/>
      <w:lvlText w:val="%1."/>
      <w:lvlJc w:val="left"/>
      <w:pPr>
        <w:ind w:left="2061"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2B12011F"/>
    <w:multiLevelType w:val="multilevel"/>
    <w:tmpl w:val="BBE4D1AA"/>
    <w:lvl w:ilvl="0">
      <w:start w:val="1"/>
      <w:numFmt w:val="decimal"/>
      <w:pStyle w:val="RBBNumberedHeadingLevel1"/>
      <w:lvlText w:val="%1."/>
      <w:lvlJc w:val="left"/>
      <w:pPr>
        <w:ind w:left="567" w:hanging="567"/>
      </w:pPr>
      <w:rPr>
        <w:rFonts w:hint="default"/>
      </w:rPr>
    </w:lvl>
    <w:lvl w:ilvl="1">
      <w:start w:val="1"/>
      <w:numFmt w:val="decimal"/>
      <w:pStyle w:val="RBBNumberedHeadingLevel2"/>
      <w:lvlText w:val="%1.%2."/>
      <w:lvlJc w:val="left"/>
      <w:pPr>
        <w:ind w:left="1418" w:hanging="567"/>
      </w:pPr>
      <w:rPr>
        <w:rFonts w:hint="default"/>
      </w:rPr>
    </w:lvl>
    <w:lvl w:ilvl="2">
      <w:start w:val="1"/>
      <w:numFmt w:val="decimal"/>
      <w:pStyle w:val="RBBNumberedHeadingLevel3"/>
      <w:lvlText w:val="%1.%2.%3."/>
      <w:lvlJc w:val="left"/>
      <w:pPr>
        <w:ind w:left="1277" w:hanging="567"/>
      </w:pPr>
      <w:rPr>
        <w:rFonts w:hint="default"/>
      </w:rPr>
    </w:lvl>
    <w:lvl w:ilvl="3">
      <w:start w:val="1"/>
      <w:numFmt w:val="decimal"/>
      <w:pStyle w:val="RBBNumberedHeadingLevel4"/>
      <w:lvlText w:val="%1.%2.%3.%4."/>
      <w:lvlJc w:val="left"/>
      <w:pPr>
        <w:ind w:left="737" w:hanging="737"/>
      </w:pPr>
      <w:rPr>
        <w:rFonts w:hint="default"/>
      </w:rPr>
    </w:lvl>
    <w:lvl w:ilvl="4">
      <w:start w:val="1"/>
      <w:numFmt w:val="lowerLetter"/>
      <w:pStyle w:val="RBBNumberedHeadingLevel5"/>
      <w:lvlText w:val="%1.%2.%3.%4.%5."/>
      <w:lvlJc w:val="left"/>
      <w:pPr>
        <w:ind w:left="851"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528061C"/>
    <w:multiLevelType w:val="hybridMultilevel"/>
    <w:tmpl w:val="3F2268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36790B42"/>
    <w:multiLevelType w:val="hybridMultilevel"/>
    <w:tmpl w:val="47145AF6"/>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2">
    <w:nsid w:val="374C18FC"/>
    <w:multiLevelType w:val="hybridMultilevel"/>
    <w:tmpl w:val="73B6A4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AD224C"/>
    <w:multiLevelType w:val="hybridMultilevel"/>
    <w:tmpl w:val="558EC1E4"/>
    <w:lvl w:ilvl="0" w:tplc="DAFED4E0">
      <w:start w:val="1"/>
      <w:numFmt w:val="decimal"/>
      <w:pStyle w:val="RBBNumberedparagraph"/>
      <w:lvlText w:val="%1."/>
      <w:lvlJc w:val="left"/>
      <w:pPr>
        <w:tabs>
          <w:tab w:val="num" w:pos="567"/>
        </w:tabs>
        <w:ind w:left="567" w:hanging="567"/>
      </w:pPr>
      <w:rPr>
        <w:rFonts w:ascii="Arial" w:hAnsi="Arial" w:hint="default"/>
        <w:b w:val="0"/>
        <w:i w:val="0"/>
        <w:caps w:val="0"/>
        <w:strike w:val="0"/>
        <w:dstrike w:val="0"/>
        <w:vanish w:val="0"/>
        <w:color w:val="auto"/>
        <w:sz w:val="2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220CCD"/>
    <w:multiLevelType w:val="multilevel"/>
    <w:tmpl w:val="7D20D13E"/>
    <w:lvl w:ilvl="0">
      <w:start w:val="1"/>
      <w:numFmt w:val="decimal"/>
      <w:pStyle w:val="RBBAnnexnumbering"/>
      <w:lvlText w:val="A.%1"/>
      <w:lvlJc w:val="left"/>
      <w:pPr>
        <w:ind w:left="567" w:hanging="567"/>
      </w:pPr>
      <w:rPr>
        <w:rFonts w:hint="default"/>
      </w:rPr>
    </w:lvl>
    <w:lvl w:ilvl="1">
      <w:start w:val="1"/>
      <w:numFmt w:val="decimal"/>
      <w:lvlText w:val="A.%1.%2"/>
      <w:lvlJc w:val="left"/>
      <w:pPr>
        <w:ind w:left="567" w:hanging="567"/>
      </w:pPr>
      <w:rPr>
        <w:rFonts w:hint="default"/>
      </w:rPr>
    </w:lvl>
    <w:lvl w:ilvl="2">
      <w:start w:val="1"/>
      <w:numFmt w:val="decimal"/>
      <w:lvlText w:val="A.%1.%2.%3"/>
      <w:lvlJc w:val="left"/>
      <w:pPr>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412A2B10"/>
    <w:multiLevelType w:val="hybridMultilevel"/>
    <w:tmpl w:val="89168142"/>
    <w:lvl w:ilvl="0" w:tplc="0D4EB766">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3A42BD1"/>
    <w:multiLevelType w:val="hybridMultilevel"/>
    <w:tmpl w:val="3DDC9670"/>
    <w:lvl w:ilvl="0" w:tplc="981E283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8">
    <w:nsid w:val="4641780C"/>
    <w:multiLevelType w:val="hybridMultilevel"/>
    <w:tmpl w:val="5832E18A"/>
    <w:lvl w:ilvl="0" w:tplc="04190003">
      <w:start w:val="1"/>
      <w:numFmt w:val="bullet"/>
      <w:lvlText w:val="o"/>
      <w:lvlJc w:val="left"/>
      <w:pPr>
        <w:ind w:left="1260" w:hanging="360"/>
      </w:pPr>
      <w:rPr>
        <w:rFonts w:ascii="Courier New" w:hAnsi="Courier New" w:cs="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47455976"/>
    <w:multiLevelType w:val="hybridMultilevel"/>
    <w:tmpl w:val="93EA1F9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nsid w:val="4FE72701"/>
    <w:multiLevelType w:val="hybridMultilevel"/>
    <w:tmpl w:val="10387F8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nsid w:val="52235723"/>
    <w:multiLevelType w:val="hybridMultilevel"/>
    <w:tmpl w:val="3C7268B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54784D97"/>
    <w:multiLevelType w:val="hybridMultilevel"/>
    <w:tmpl w:val="A1F823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72E515E"/>
    <w:multiLevelType w:val="multilevel"/>
    <w:tmpl w:val="B0F8AFD2"/>
    <w:lvl w:ilvl="0">
      <w:start w:val="1"/>
      <w:numFmt w:val="decimal"/>
      <w:pStyle w:val="RBBAnnexnumberingB"/>
      <w:lvlText w:val="B.%1"/>
      <w:lvlJc w:val="left"/>
      <w:pPr>
        <w:ind w:left="567" w:hanging="567"/>
      </w:pPr>
      <w:rPr>
        <w:rFonts w:hint="default"/>
      </w:rPr>
    </w:lvl>
    <w:lvl w:ilvl="1">
      <w:start w:val="1"/>
      <w:numFmt w:val="decimal"/>
      <w:lvlText w:val="B.%1.%2"/>
      <w:lvlJc w:val="left"/>
      <w:pPr>
        <w:ind w:left="567" w:hanging="567"/>
      </w:pPr>
      <w:rPr>
        <w:rFonts w:hint="default"/>
      </w:rPr>
    </w:lvl>
    <w:lvl w:ilvl="2">
      <w:start w:val="1"/>
      <w:numFmt w:val="decimal"/>
      <w:lvlText w:val="B.%1.%2.%3"/>
      <w:lvlJc w:val="left"/>
      <w:pPr>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57A75DEE"/>
    <w:multiLevelType w:val="multilevel"/>
    <w:tmpl w:val="79CC090E"/>
    <w:lvl w:ilvl="0">
      <w:start w:val="3"/>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nsid w:val="587D794A"/>
    <w:multiLevelType w:val="hybridMultilevel"/>
    <w:tmpl w:val="BC28C91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6">
    <w:nsid w:val="5A7D3676"/>
    <w:multiLevelType w:val="hybridMultilevel"/>
    <w:tmpl w:val="397EECB8"/>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7">
    <w:nsid w:val="5DEC6698"/>
    <w:multiLevelType w:val="hybridMultilevel"/>
    <w:tmpl w:val="46942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AB38FD"/>
    <w:multiLevelType w:val="hybridMultilevel"/>
    <w:tmpl w:val="F92CA5A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nsid w:val="6A8C4475"/>
    <w:multiLevelType w:val="multilevel"/>
    <w:tmpl w:val="184C9E1E"/>
    <w:lvl w:ilvl="0">
      <w:start w:val="4"/>
      <w:numFmt w:val="decimal"/>
      <w:lvlText w:val="%1."/>
      <w:lvlJc w:val="left"/>
      <w:pPr>
        <w:ind w:left="360" w:hanging="36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0">
    <w:nsid w:val="6E9A6258"/>
    <w:multiLevelType w:val="hybridMultilevel"/>
    <w:tmpl w:val="0A7ED914"/>
    <w:lvl w:ilvl="0" w:tplc="08090011">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F2E7FE9"/>
    <w:multiLevelType w:val="hybridMultilevel"/>
    <w:tmpl w:val="C17085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F735273"/>
    <w:multiLevelType w:val="hybridMultilevel"/>
    <w:tmpl w:val="3ED4D68E"/>
    <w:lvl w:ilvl="0" w:tplc="593A74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461066F"/>
    <w:multiLevelType w:val="hybridMultilevel"/>
    <w:tmpl w:val="ED4E556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74A1244B"/>
    <w:multiLevelType w:val="hybridMultilevel"/>
    <w:tmpl w:val="3A08923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9C6710D"/>
    <w:multiLevelType w:val="hybridMultilevel"/>
    <w:tmpl w:val="81EEFAD6"/>
    <w:lvl w:ilvl="0" w:tplc="402C26A2">
      <w:start w:val="1"/>
      <w:numFmt w:val="bullet"/>
      <w:pStyle w:val="RBBBullet1"/>
      <w:lvlText w:val=""/>
      <w:lvlJc w:val="left"/>
      <w:pPr>
        <w:ind w:left="503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A9A47D6"/>
    <w:multiLevelType w:val="hybridMultilevel"/>
    <w:tmpl w:val="60063B14"/>
    <w:lvl w:ilvl="0" w:tplc="0D4EB766">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13"/>
  </w:num>
  <w:num w:numId="4">
    <w:abstractNumId w:val="23"/>
  </w:num>
  <w:num w:numId="5">
    <w:abstractNumId w:val="27"/>
  </w:num>
  <w:num w:numId="6">
    <w:abstractNumId w:val="16"/>
  </w:num>
  <w:num w:numId="7">
    <w:abstractNumId w:val="18"/>
  </w:num>
  <w:num w:numId="8">
    <w:abstractNumId w:val="19"/>
  </w:num>
  <w:num w:numId="9">
    <w:abstractNumId w:val="45"/>
  </w:num>
  <w:num w:numId="10">
    <w:abstractNumId w:val="17"/>
  </w:num>
  <w:num w:numId="11">
    <w:abstractNumId w:val="24"/>
  </w:num>
  <w:num w:numId="12">
    <w:abstractNumId w:val="25"/>
  </w:num>
  <w:num w:numId="13">
    <w:abstractNumId w:val="33"/>
  </w:num>
  <w:num w:numId="14">
    <w:abstractNumId w:val="11"/>
  </w:num>
  <w:num w:numId="15">
    <w:abstractNumId w:val="46"/>
  </w:num>
  <w:num w:numId="16">
    <w:abstractNumId w:val="26"/>
  </w:num>
  <w:num w:numId="17">
    <w:abstractNumId w:val="6"/>
  </w:num>
  <w:num w:numId="18">
    <w:abstractNumId w:val="40"/>
  </w:num>
  <w:num w:numId="19">
    <w:abstractNumId w:val="9"/>
  </w:num>
  <w:num w:numId="20">
    <w:abstractNumId w:val="7"/>
  </w:num>
  <w:num w:numId="21">
    <w:abstractNumId w:val="22"/>
  </w:num>
  <w:num w:numId="22">
    <w:abstractNumId w:val="37"/>
  </w:num>
  <w:num w:numId="23">
    <w:abstractNumId w:val="38"/>
  </w:num>
  <w:num w:numId="24">
    <w:abstractNumId w:val="15"/>
  </w:num>
  <w:num w:numId="25">
    <w:abstractNumId w:val="42"/>
  </w:num>
  <w:num w:numId="26">
    <w:abstractNumId w:val="20"/>
  </w:num>
  <w:num w:numId="27">
    <w:abstractNumId w:val="44"/>
  </w:num>
  <w:num w:numId="28">
    <w:abstractNumId w:val="31"/>
  </w:num>
  <w:num w:numId="29">
    <w:abstractNumId w:val="43"/>
  </w:num>
  <w:num w:numId="30">
    <w:abstractNumId w:val="34"/>
  </w:num>
  <w:num w:numId="31">
    <w:abstractNumId w:val="39"/>
  </w:num>
  <w:num w:numId="32">
    <w:abstractNumId w:val="32"/>
  </w:num>
  <w:num w:numId="33">
    <w:abstractNumId w:val="12"/>
  </w:num>
  <w:num w:numId="34">
    <w:abstractNumId w:val="41"/>
  </w:num>
  <w:num w:numId="35">
    <w:abstractNumId w:val="28"/>
  </w:num>
  <w:num w:numId="36">
    <w:abstractNumId w:val="14"/>
  </w:num>
  <w:num w:numId="37">
    <w:abstractNumId w:val="0"/>
  </w:num>
  <w:num w:numId="38">
    <w:abstractNumId w:val="29"/>
  </w:num>
  <w:num w:numId="39">
    <w:abstractNumId w:val="30"/>
  </w:num>
  <w:num w:numId="40">
    <w:abstractNumId w:val="35"/>
  </w:num>
  <w:num w:numId="41">
    <w:abstractNumId w:val="10"/>
  </w:num>
  <w:num w:numId="42">
    <w:abstractNumId w:val="8"/>
  </w:num>
  <w:num w:numId="43">
    <w:abstractNumId w:val="3"/>
  </w:num>
  <w:num w:numId="44">
    <w:abstractNumId w:val="36"/>
  </w:num>
  <w:num w:numId="45">
    <w:abstractNumId w:val="4"/>
  </w:num>
  <w:num w:numId="46">
    <w:abstractNumId w:val="21"/>
  </w:num>
  <w:num w:numId="4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E163F"/>
    <w:rsid w:val="00032233"/>
    <w:rsid w:val="000B72A0"/>
    <w:rsid w:val="000E6392"/>
    <w:rsid w:val="0015341E"/>
    <w:rsid w:val="001E163F"/>
    <w:rsid w:val="00245C27"/>
    <w:rsid w:val="00334D3B"/>
    <w:rsid w:val="003551B0"/>
    <w:rsid w:val="00361F88"/>
    <w:rsid w:val="00401C4A"/>
    <w:rsid w:val="00426657"/>
    <w:rsid w:val="004536AF"/>
    <w:rsid w:val="004F1E5E"/>
    <w:rsid w:val="0057567A"/>
    <w:rsid w:val="00582129"/>
    <w:rsid w:val="005C629F"/>
    <w:rsid w:val="0064464E"/>
    <w:rsid w:val="00771783"/>
    <w:rsid w:val="007721EE"/>
    <w:rsid w:val="00797FDC"/>
    <w:rsid w:val="007D35F9"/>
    <w:rsid w:val="00836940"/>
    <w:rsid w:val="00867178"/>
    <w:rsid w:val="008B3A19"/>
    <w:rsid w:val="008D01C1"/>
    <w:rsid w:val="008F2521"/>
    <w:rsid w:val="009746F9"/>
    <w:rsid w:val="00993703"/>
    <w:rsid w:val="00B243F6"/>
    <w:rsid w:val="00B56DC6"/>
    <w:rsid w:val="00B65DDA"/>
    <w:rsid w:val="00B850EE"/>
    <w:rsid w:val="00BA2698"/>
    <w:rsid w:val="00C601CB"/>
    <w:rsid w:val="00C92207"/>
    <w:rsid w:val="00D52262"/>
    <w:rsid w:val="00DB066E"/>
    <w:rsid w:val="00E04AB7"/>
    <w:rsid w:val="00E17A9B"/>
    <w:rsid w:val="00E86D41"/>
    <w:rsid w:val="00EF2351"/>
    <w:rsid w:val="00F76EEC"/>
    <w:rsid w:val="00FE3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2" type="connector" idref="#Straight Arrow Connector 77"/>
        <o:r id="V:Rule13" type="connector" idref="#Straight Arrow Connector 110"/>
        <o:r id="V:Rule14" type="connector" idref="#Straight Arrow Connector 78"/>
        <o:r id="V:Rule15" type="connector" idref="#Straight Arrow Connector 46"/>
        <o:r id="V:Rule16" type="connector" idref="#Straight Arrow Connector 45"/>
        <o:r id="V:Rule17" type="connector" idref="#Straight Arrow Connector 3"/>
        <o:r id="V:Rule18" type="connector" idref="#Straight Arrow Connector 5"/>
        <o:r id="V:Rule19" type="connector" idref="#Straight Arrow Connector 41"/>
        <o:r id="V:Rule20" type="connector" idref="#Straight Arrow Connector 42"/>
        <o:r id="V:Rule21" type="connector" idref="#Straight Arrow Connector 24"/>
        <o:r id="V:Rule22" type="connector" idref="#Straight Arrow Connector 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703"/>
  </w:style>
  <w:style w:type="paragraph" w:styleId="1">
    <w:name w:val="heading 1"/>
    <w:basedOn w:val="a"/>
    <w:next w:val="a"/>
    <w:link w:val="10"/>
    <w:uiPriority w:val="9"/>
    <w:qFormat/>
    <w:rsid w:val="00DB066E"/>
    <w:pPr>
      <w:keepNext/>
      <w:keepLines/>
      <w:spacing w:before="480" w:after="0" w:line="276" w:lineRule="auto"/>
      <w:outlineLvl w:val="0"/>
    </w:pPr>
    <w:rPr>
      <w:rFonts w:ascii="Cambria" w:eastAsia="Times New Roman" w:hAnsi="Cambria" w:cs="Times New Roman"/>
      <w:b/>
      <w:bCs/>
      <w:color w:val="21798E"/>
      <w:sz w:val="28"/>
      <w:szCs w:val="28"/>
      <w:lang w:eastAsia="ru-RU"/>
    </w:rPr>
  </w:style>
  <w:style w:type="paragraph" w:styleId="2">
    <w:name w:val="heading 2"/>
    <w:basedOn w:val="a"/>
    <w:next w:val="a"/>
    <w:link w:val="20"/>
    <w:uiPriority w:val="9"/>
    <w:qFormat/>
    <w:rsid w:val="00DB066E"/>
    <w:pPr>
      <w:keepNext/>
      <w:keepLines/>
      <w:spacing w:before="200" w:after="0" w:line="276" w:lineRule="auto"/>
      <w:outlineLvl w:val="1"/>
    </w:pPr>
    <w:rPr>
      <w:rFonts w:ascii="Cambria" w:eastAsia="Times New Roman" w:hAnsi="Cambria" w:cs="Times New Roman"/>
      <w:b/>
      <w:bCs/>
      <w:color w:val="2DA2BF"/>
      <w:sz w:val="26"/>
      <w:szCs w:val="26"/>
      <w:lang w:eastAsia="ru-RU"/>
    </w:rPr>
  </w:style>
  <w:style w:type="paragraph" w:styleId="3">
    <w:name w:val="heading 3"/>
    <w:basedOn w:val="a"/>
    <w:next w:val="a"/>
    <w:link w:val="30"/>
    <w:uiPriority w:val="9"/>
    <w:qFormat/>
    <w:rsid w:val="00DB066E"/>
    <w:pPr>
      <w:keepNext/>
      <w:keepLines/>
      <w:spacing w:before="200" w:after="0" w:line="276" w:lineRule="auto"/>
      <w:outlineLvl w:val="2"/>
    </w:pPr>
    <w:rPr>
      <w:rFonts w:ascii="Cambria" w:eastAsia="Times New Roman" w:hAnsi="Cambria" w:cs="Times New Roman"/>
      <w:b/>
      <w:bCs/>
      <w:color w:val="2DA2BF"/>
      <w:lang w:eastAsia="ru-RU"/>
    </w:rPr>
  </w:style>
  <w:style w:type="paragraph" w:styleId="4">
    <w:name w:val="heading 4"/>
    <w:basedOn w:val="a"/>
    <w:next w:val="a"/>
    <w:link w:val="40"/>
    <w:uiPriority w:val="9"/>
    <w:qFormat/>
    <w:rsid w:val="00DB066E"/>
    <w:pPr>
      <w:keepNext/>
      <w:keepLines/>
      <w:spacing w:before="200" w:after="0" w:line="276" w:lineRule="auto"/>
      <w:outlineLvl w:val="3"/>
    </w:pPr>
    <w:rPr>
      <w:rFonts w:ascii="Cambria" w:eastAsia="Times New Roman" w:hAnsi="Cambria" w:cs="Times New Roman"/>
      <w:b/>
      <w:bCs/>
      <w:i/>
      <w:iCs/>
      <w:color w:val="2DA2BF"/>
      <w:lang w:eastAsia="ru-RU"/>
    </w:rPr>
  </w:style>
  <w:style w:type="paragraph" w:styleId="5">
    <w:name w:val="heading 5"/>
    <w:basedOn w:val="a"/>
    <w:next w:val="a"/>
    <w:link w:val="50"/>
    <w:uiPriority w:val="9"/>
    <w:qFormat/>
    <w:rsid w:val="00DB066E"/>
    <w:pPr>
      <w:keepNext/>
      <w:keepLines/>
      <w:spacing w:before="200" w:after="0" w:line="276" w:lineRule="auto"/>
      <w:outlineLvl w:val="4"/>
    </w:pPr>
    <w:rPr>
      <w:rFonts w:ascii="Cambria" w:eastAsia="Times New Roman" w:hAnsi="Cambria" w:cs="Times New Roman"/>
      <w:color w:val="16505E"/>
      <w:lang w:eastAsia="ru-RU"/>
    </w:rPr>
  </w:style>
  <w:style w:type="paragraph" w:styleId="6">
    <w:name w:val="heading 6"/>
    <w:basedOn w:val="a"/>
    <w:next w:val="a"/>
    <w:link w:val="60"/>
    <w:uiPriority w:val="9"/>
    <w:qFormat/>
    <w:rsid w:val="00DB066E"/>
    <w:pPr>
      <w:keepNext/>
      <w:keepLines/>
      <w:spacing w:before="200" w:after="0" w:line="276" w:lineRule="auto"/>
      <w:outlineLvl w:val="5"/>
    </w:pPr>
    <w:rPr>
      <w:rFonts w:ascii="Cambria" w:eastAsia="Times New Roman" w:hAnsi="Cambria" w:cs="Times New Roman"/>
      <w:i/>
      <w:iCs/>
      <w:color w:val="16505E"/>
      <w:lang w:eastAsia="ru-RU"/>
    </w:rPr>
  </w:style>
  <w:style w:type="paragraph" w:styleId="7">
    <w:name w:val="heading 7"/>
    <w:basedOn w:val="a"/>
    <w:next w:val="a"/>
    <w:link w:val="70"/>
    <w:uiPriority w:val="9"/>
    <w:qFormat/>
    <w:rsid w:val="00DB066E"/>
    <w:pPr>
      <w:keepNext/>
      <w:keepLines/>
      <w:spacing w:before="200" w:after="0" w:line="276" w:lineRule="auto"/>
      <w:outlineLvl w:val="6"/>
    </w:pPr>
    <w:rPr>
      <w:rFonts w:ascii="Cambria" w:eastAsia="Times New Roman" w:hAnsi="Cambria" w:cs="Times New Roman"/>
      <w:i/>
      <w:iCs/>
      <w:color w:val="404040"/>
      <w:lang w:eastAsia="ru-RU"/>
    </w:rPr>
  </w:style>
  <w:style w:type="paragraph" w:styleId="8">
    <w:name w:val="heading 8"/>
    <w:basedOn w:val="a"/>
    <w:next w:val="a"/>
    <w:link w:val="80"/>
    <w:uiPriority w:val="9"/>
    <w:qFormat/>
    <w:rsid w:val="00DB066E"/>
    <w:pPr>
      <w:keepNext/>
      <w:keepLines/>
      <w:spacing w:before="200" w:after="0" w:line="276" w:lineRule="auto"/>
      <w:outlineLvl w:val="7"/>
    </w:pPr>
    <w:rPr>
      <w:rFonts w:ascii="Cambria" w:eastAsia="Times New Roman" w:hAnsi="Cambria" w:cs="Times New Roman"/>
      <w:color w:val="2DA2BF"/>
      <w:sz w:val="20"/>
      <w:szCs w:val="20"/>
      <w:lang w:eastAsia="ru-RU"/>
    </w:rPr>
  </w:style>
  <w:style w:type="paragraph" w:styleId="9">
    <w:name w:val="heading 9"/>
    <w:basedOn w:val="a"/>
    <w:next w:val="a"/>
    <w:link w:val="90"/>
    <w:uiPriority w:val="9"/>
    <w:qFormat/>
    <w:rsid w:val="00DB066E"/>
    <w:pPr>
      <w:keepNext/>
      <w:keepLines/>
      <w:spacing w:before="200" w:after="0" w:line="276"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unhideWhenUsed/>
    <w:rsid w:val="005C629F"/>
    <w:pPr>
      <w:spacing w:after="0" w:line="240" w:lineRule="auto"/>
    </w:pPr>
    <w:rPr>
      <w:sz w:val="20"/>
      <w:szCs w:val="20"/>
    </w:rPr>
  </w:style>
  <w:style w:type="character" w:customStyle="1" w:styleId="aa">
    <w:name w:val="Текст сноски Знак"/>
    <w:basedOn w:val="a0"/>
    <w:link w:val="a9"/>
    <w:uiPriority w:val="99"/>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 w:type="character" w:customStyle="1" w:styleId="10">
    <w:name w:val="Заголовок 1 Знак"/>
    <w:basedOn w:val="a0"/>
    <w:link w:val="1"/>
    <w:uiPriority w:val="9"/>
    <w:rsid w:val="00DB066E"/>
    <w:rPr>
      <w:rFonts w:ascii="Cambria" w:eastAsia="Times New Roman" w:hAnsi="Cambria" w:cs="Times New Roman"/>
      <w:b/>
      <w:bCs/>
      <w:color w:val="21798E"/>
      <w:sz w:val="28"/>
      <w:szCs w:val="28"/>
      <w:lang w:eastAsia="ru-RU"/>
    </w:rPr>
  </w:style>
  <w:style w:type="character" w:customStyle="1" w:styleId="20">
    <w:name w:val="Заголовок 2 Знак"/>
    <w:basedOn w:val="a0"/>
    <w:link w:val="2"/>
    <w:uiPriority w:val="9"/>
    <w:rsid w:val="00DB066E"/>
    <w:rPr>
      <w:rFonts w:ascii="Cambria" w:eastAsia="Times New Roman" w:hAnsi="Cambria" w:cs="Times New Roman"/>
      <w:b/>
      <w:bCs/>
      <w:color w:val="2DA2BF"/>
      <w:sz w:val="26"/>
      <w:szCs w:val="26"/>
      <w:lang w:eastAsia="ru-RU"/>
    </w:rPr>
  </w:style>
  <w:style w:type="character" w:customStyle="1" w:styleId="30">
    <w:name w:val="Заголовок 3 Знак"/>
    <w:basedOn w:val="a0"/>
    <w:link w:val="3"/>
    <w:uiPriority w:val="9"/>
    <w:rsid w:val="00DB066E"/>
    <w:rPr>
      <w:rFonts w:ascii="Cambria" w:eastAsia="Times New Roman" w:hAnsi="Cambria" w:cs="Times New Roman"/>
      <w:b/>
      <w:bCs/>
      <w:color w:val="2DA2BF"/>
      <w:lang w:eastAsia="ru-RU"/>
    </w:rPr>
  </w:style>
  <w:style w:type="character" w:customStyle="1" w:styleId="40">
    <w:name w:val="Заголовок 4 Знак"/>
    <w:basedOn w:val="a0"/>
    <w:link w:val="4"/>
    <w:uiPriority w:val="9"/>
    <w:rsid w:val="00DB066E"/>
    <w:rPr>
      <w:rFonts w:ascii="Cambria" w:eastAsia="Times New Roman" w:hAnsi="Cambria" w:cs="Times New Roman"/>
      <w:b/>
      <w:bCs/>
      <w:i/>
      <w:iCs/>
      <w:color w:val="2DA2BF"/>
      <w:lang w:eastAsia="ru-RU"/>
    </w:rPr>
  </w:style>
  <w:style w:type="character" w:customStyle="1" w:styleId="50">
    <w:name w:val="Заголовок 5 Знак"/>
    <w:basedOn w:val="a0"/>
    <w:link w:val="5"/>
    <w:uiPriority w:val="9"/>
    <w:rsid w:val="00DB066E"/>
    <w:rPr>
      <w:rFonts w:ascii="Cambria" w:eastAsia="Times New Roman" w:hAnsi="Cambria" w:cs="Times New Roman"/>
      <w:color w:val="16505E"/>
      <w:lang w:eastAsia="ru-RU"/>
    </w:rPr>
  </w:style>
  <w:style w:type="character" w:customStyle="1" w:styleId="60">
    <w:name w:val="Заголовок 6 Знак"/>
    <w:basedOn w:val="a0"/>
    <w:link w:val="6"/>
    <w:uiPriority w:val="9"/>
    <w:rsid w:val="00DB066E"/>
    <w:rPr>
      <w:rFonts w:ascii="Cambria" w:eastAsia="Times New Roman" w:hAnsi="Cambria" w:cs="Times New Roman"/>
      <w:i/>
      <w:iCs/>
      <w:color w:val="16505E"/>
      <w:lang w:eastAsia="ru-RU"/>
    </w:rPr>
  </w:style>
  <w:style w:type="character" w:customStyle="1" w:styleId="70">
    <w:name w:val="Заголовок 7 Знак"/>
    <w:basedOn w:val="a0"/>
    <w:link w:val="7"/>
    <w:uiPriority w:val="9"/>
    <w:rsid w:val="00DB066E"/>
    <w:rPr>
      <w:rFonts w:ascii="Cambria" w:eastAsia="Times New Roman" w:hAnsi="Cambria" w:cs="Times New Roman"/>
      <w:i/>
      <w:iCs/>
      <w:color w:val="404040"/>
      <w:lang w:eastAsia="ru-RU"/>
    </w:rPr>
  </w:style>
  <w:style w:type="character" w:customStyle="1" w:styleId="80">
    <w:name w:val="Заголовок 8 Знак"/>
    <w:basedOn w:val="a0"/>
    <w:link w:val="8"/>
    <w:uiPriority w:val="9"/>
    <w:rsid w:val="00DB066E"/>
    <w:rPr>
      <w:rFonts w:ascii="Cambria" w:eastAsia="Times New Roman" w:hAnsi="Cambria" w:cs="Times New Roman"/>
      <w:color w:val="2DA2BF"/>
      <w:sz w:val="20"/>
      <w:szCs w:val="20"/>
      <w:lang w:eastAsia="ru-RU"/>
    </w:rPr>
  </w:style>
  <w:style w:type="character" w:customStyle="1" w:styleId="90">
    <w:name w:val="Заголовок 9 Знак"/>
    <w:basedOn w:val="a0"/>
    <w:link w:val="9"/>
    <w:uiPriority w:val="9"/>
    <w:rsid w:val="00DB066E"/>
    <w:rPr>
      <w:rFonts w:ascii="Cambria" w:eastAsia="Times New Roman" w:hAnsi="Cambria" w:cs="Times New Roman"/>
      <w:i/>
      <w:iCs/>
      <w:color w:val="404040"/>
      <w:sz w:val="20"/>
      <w:szCs w:val="20"/>
      <w:lang w:eastAsia="ru-RU"/>
    </w:rPr>
  </w:style>
  <w:style w:type="paragraph" w:customStyle="1" w:styleId="PlaceholderforLogo">
    <w:name w:val="Placeholder for Logo"/>
    <w:basedOn w:val="af"/>
    <w:rsid w:val="00DB066E"/>
    <w:pPr>
      <w:pBdr>
        <w:bottom w:val="none" w:sz="0" w:space="0" w:color="auto"/>
      </w:pBdr>
      <w:spacing w:before="1000" w:after="120" w:line="288" w:lineRule="auto"/>
      <w:contextualSpacing w:val="0"/>
      <w:jc w:val="both"/>
      <w:outlineLvl w:val="0"/>
    </w:pPr>
    <w:rPr>
      <w:rFonts w:ascii="Arial" w:hAnsi="Arial"/>
      <w:b/>
      <w:bCs/>
      <w:color w:val="000000"/>
      <w:spacing w:val="0"/>
      <w:sz w:val="44"/>
      <w:szCs w:val="20"/>
      <w:lang w:eastAsia="en-GB"/>
    </w:rPr>
  </w:style>
  <w:style w:type="paragraph" w:styleId="af">
    <w:name w:val="Title"/>
    <w:basedOn w:val="a"/>
    <w:next w:val="a"/>
    <w:link w:val="af0"/>
    <w:uiPriority w:val="10"/>
    <w:qFormat/>
    <w:rsid w:val="00DB066E"/>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lang w:eastAsia="ru-RU"/>
    </w:rPr>
  </w:style>
  <w:style w:type="character" w:customStyle="1" w:styleId="af0">
    <w:name w:val="Название Знак"/>
    <w:basedOn w:val="a0"/>
    <w:link w:val="af"/>
    <w:uiPriority w:val="10"/>
    <w:rsid w:val="00DB066E"/>
    <w:rPr>
      <w:rFonts w:ascii="Cambria" w:eastAsia="Times New Roman" w:hAnsi="Cambria" w:cs="Times New Roman"/>
      <w:color w:val="343434"/>
      <w:spacing w:val="5"/>
      <w:kern w:val="28"/>
      <w:sz w:val="52"/>
      <w:szCs w:val="52"/>
      <w:lang w:eastAsia="ru-RU"/>
    </w:rPr>
  </w:style>
  <w:style w:type="paragraph" w:customStyle="1" w:styleId="RBBTitle">
    <w:name w:val="!RBB Title"/>
    <w:basedOn w:val="RBBBodytext"/>
    <w:next w:val="RBBBodytext"/>
    <w:link w:val="RBBTitleChar"/>
    <w:rsid w:val="00DB066E"/>
    <w:pPr>
      <w:spacing w:before="3000" w:after="120"/>
    </w:pPr>
    <w:rPr>
      <w:sz w:val="44"/>
      <w:szCs w:val="32"/>
    </w:rPr>
  </w:style>
  <w:style w:type="paragraph" w:customStyle="1" w:styleId="RBBDate">
    <w:name w:val="!RBB Date"/>
    <w:basedOn w:val="RBBBodytext"/>
    <w:next w:val="RBBBodytext"/>
    <w:link w:val="RBBDateChar"/>
    <w:rsid w:val="00DB066E"/>
    <w:pPr>
      <w:spacing w:before="300" w:after="300"/>
    </w:pPr>
    <w:rPr>
      <w:b/>
      <w:sz w:val="16"/>
    </w:rPr>
  </w:style>
  <w:style w:type="character" w:customStyle="1" w:styleId="RBBTitleChar">
    <w:name w:val="!RBB Title Char"/>
    <w:link w:val="RBBTitle"/>
    <w:rsid w:val="00DB066E"/>
    <w:rPr>
      <w:rFonts w:ascii="Calibri" w:eastAsia="Times New Roman" w:hAnsi="Calibri" w:cs="Arial"/>
      <w:sz w:val="44"/>
      <w:szCs w:val="32"/>
      <w:lang w:eastAsia="ru-RU"/>
    </w:rPr>
  </w:style>
  <w:style w:type="paragraph" w:customStyle="1" w:styleId="RBBBodytext">
    <w:name w:val="!RBB Body text"/>
    <w:basedOn w:val="a"/>
    <w:link w:val="RBBBodytextChar"/>
    <w:rsid w:val="00DB066E"/>
    <w:pPr>
      <w:spacing w:before="120" w:after="240" w:line="276" w:lineRule="auto"/>
      <w:jc w:val="both"/>
    </w:pPr>
    <w:rPr>
      <w:rFonts w:ascii="Calibri" w:eastAsia="Times New Roman" w:hAnsi="Calibri" w:cs="Arial"/>
      <w:szCs w:val="16"/>
      <w:lang w:eastAsia="ru-RU"/>
    </w:rPr>
  </w:style>
  <w:style w:type="character" w:customStyle="1" w:styleId="RBBDateChar">
    <w:name w:val="!RBB Date Char"/>
    <w:link w:val="RBBDate"/>
    <w:rsid w:val="00DB066E"/>
    <w:rPr>
      <w:rFonts w:ascii="Calibri" w:eastAsia="Times New Roman" w:hAnsi="Calibri" w:cs="Arial"/>
      <w:b/>
      <w:sz w:val="16"/>
      <w:szCs w:val="16"/>
      <w:lang w:eastAsia="ru-RU"/>
    </w:rPr>
  </w:style>
  <w:style w:type="paragraph" w:customStyle="1" w:styleId="RBBNumberedparagraph">
    <w:name w:val="!RBB Numbered paragraph"/>
    <w:basedOn w:val="RBBBodytext"/>
    <w:link w:val="RBBNumberedparagraphChar"/>
    <w:autoRedefine/>
    <w:rsid w:val="00DB066E"/>
    <w:pPr>
      <w:numPr>
        <w:numId w:val="11"/>
      </w:numPr>
    </w:pPr>
  </w:style>
  <w:style w:type="character" w:customStyle="1" w:styleId="RBBBodytextChar">
    <w:name w:val="!RBB Body text Char"/>
    <w:link w:val="RBBBodytext"/>
    <w:rsid w:val="00DB066E"/>
    <w:rPr>
      <w:rFonts w:ascii="Calibri" w:eastAsia="Times New Roman" w:hAnsi="Calibri" w:cs="Arial"/>
      <w:szCs w:val="16"/>
      <w:lang w:eastAsia="ru-RU"/>
    </w:rPr>
  </w:style>
  <w:style w:type="paragraph" w:customStyle="1" w:styleId="ColorfulList-Accent11">
    <w:name w:val="Colorful List - Accent 11"/>
    <w:basedOn w:val="a"/>
    <w:link w:val="ColorfulList-Accent1Char"/>
    <w:uiPriority w:val="34"/>
    <w:qFormat/>
    <w:rsid w:val="00DB066E"/>
    <w:pPr>
      <w:spacing w:after="200" w:line="276" w:lineRule="auto"/>
      <w:ind w:left="720"/>
      <w:contextualSpacing/>
    </w:pPr>
    <w:rPr>
      <w:rFonts w:ascii="Calibri" w:eastAsia="Times New Roman" w:hAnsi="Calibri" w:cs="Times New Roman"/>
      <w:lang w:eastAsia="ru-RU"/>
    </w:rPr>
  </w:style>
  <w:style w:type="character" w:customStyle="1" w:styleId="RBBNumberedparagraphChar">
    <w:name w:val="!RBB Numbered paragraph Char"/>
    <w:link w:val="RBBNumberedparagraph"/>
    <w:rsid w:val="00DB066E"/>
    <w:rPr>
      <w:rFonts w:ascii="Calibri" w:eastAsia="Times New Roman" w:hAnsi="Calibri" w:cs="Arial"/>
      <w:szCs w:val="16"/>
      <w:lang w:eastAsia="ru-RU"/>
    </w:rPr>
  </w:style>
  <w:style w:type="paragraph" w:customStyle="1" w:styleId="RBBBullet1">
    <w:name w:val="!RBB Bullet 1"/>
    <w:basedOn w:val="a"/>
    <w:link w:val="RBBBullet1Char"/>
    <w:rsid w:val="00DB066E"/>
    <w:pPr>
      <w:numPr>
        <w:numId w:val="9"/>
      </w:numPr>
      <w:spacing w:after="200" w:line="276" w:lineRule="auto"/>
    </w:pPr>
    <w:rPr>
      <w:rFonts w:ascii="Calibri" w:eastAsia="Times New Roman" w:hAnsi="Calibri" w:cs="Times New Roman"/>
      <w:lang w:eastAsia="ru-RU"/>
    </w:rPr>
  </w:style>
  <w:style w:type="paragraph" w:customStyle="1" w:styleId="RBBBullet2">
    <w:name w:val="!RBB Bullet 2"/>
    <w:basedOn w:val="RBBBodytext"/>
    <w:link w:val="RBBBullet2Char"/>
    <w:rsid w:val="00DB066E"/>
    <w:pPr>
      <w:numPr>
        <w:numId w:val="10"/>
      </w:numPr>
      <w:spacing w:before="0"/>
      <w:ind w:left="1135" w:hanging="284"/>
    </w:pPr>
  </w:style>
  <w:style w:type="character" w:customStyle="1" w:styleId="ColorfulList-Accent1Char">
    <w:name w:val="Colorful List - Accent 1 Char"/>
    <w:link w:val="ColorfulList-Accent11"/>
    <w:uiPriority w:val="34"/>
    <w:rsid w:val="00DB066E"/>
    <w:rPr>
      <w:rFonts w:ascii="Calibri" w:eastAsia="Times New Roman" w:hAnsi="Calibri" w:cs="Times New Roman"/>
      <w:lang w:eastAsia="ru-RU"/>
    </w:rPr>
  </w:style>
  <w:style w:type="character" w:customStyle="1" w:styleId="RBBBullet1Char">
    <w:name w:val="!RBB Bullet 1 Char"/>
    <w:link w:val="RBBBullet1"/>
    <w:rsid w:val="00DB066E"/>
    <w:rPr>
      <w:rFonts w:ascii="Calibri" w:eastAsia="Times New Roman" w:hAnsi="Calibri" w:cs="Times New Roman"/>
      <w:lang w:eastAsia="ru-RU"/>
    </w:rPr>
  </w:style>
  <w:style w:type="paragraph" w:customStyle="1" w:styleId="RBBNumberedHeadingLevel1">
    <w:name w:val="!RBB Numbered Heading_Level 1"/>
    <w:basedOn w:val="RBBBodytext"/>
    <w:next w:val="RBBBodytext"/>
    <w:link w:val="RBBNumberedHeadingLevel1Char"/>
    <w:rsid w:val="00DB066E"/>
    <w:pPr>
      <w:keepNext/>
      <w:pageBreakBefore/>
      <w:numPr>
        <w:numId w:val="8"/>
      </w:numPr>
      <w:spacing w:before="480" w:after="120"/>
    </w:pPr>
    <w:rPr>
      <w:sz w:val="30"/>
    </w:rPr>
  </w:style>
  <w:style w:type="character" w:customStyle="1" w:styleId="RBBBullet2Char">
    <w:name w:val="!RBB Bullet 2 Char"/>
    <w:link w:val="RBBBullet2"/>
    <w:rsid w:val="00DB066E"/>
    <w:rPr>
      <w:rFonts w:ascii="Calibri" w:eastAsia="Times New Roman" w:hAnsi="Calibri" w:cs="Arial"/>
      <w:szCs w:val="16"/>
      <w:lang w:eastAsia="ru-RU"/>
    </w:rPr>
  </w:style>
  <w:style w:type="paragraph" w:customStyle="1" w:styleId="RBBNumberedHeadingLevel2">
    <w:name w:val="!RBB Numbered Heading_Level 2"/>
    <w:basedOn w:val="RBBNumberedHeadingLevel1"/>
    <w:next w:val="RBBBodytext"/>
    <w:link w:val="RBBNumberedHeadingLevel2Char"/>
    <w:rsid w:val="00DB066E"/>
    <w:pPr>
      <w:pageBreakBefore w:val="0"/>
      <w:numPr>
        <w:ilvl w:val="1"/>
      </w:numPr>
      <w:spacing w:after="240"/>
    </w:pPr>
    <w:rPr>
      <w:b/>
      <w:sz w:val="24"/>
      <w:szCs w:val="24"/>
    </w:rPr>
  </w:style>
  <w:style w:type="character" w:customStyle="1" w:styleId="RBBNumberedHeadingLevel1Char">
    <w:name w:val="!RBB Numbered Heading_Level 1 Char"/>
    <w:link w:val="RBBNumberedHeadingLevel1"/>
    <w:rsid w:val="00DB066E"/>
    <w:rPr>
      <w:rFonts w:ascii="Calibri" w:eastAsia="Times New Roman" w:hAnsi="Calibri" w:cs="Arial"/>
      <w:sz w:val="30"/>
      <w:szCs w:val="16"/>
      <w:lang w:eastAsia="ru-RU"/>
    </w:rPr>
  </w:style>
  <w:style w:type="paragraph" w:customStyle="1" w:styleId="RBBNumberedHeadingLevel3">
    <w:name w:val="!RBB Numbered Heading_Level 3"/>
    <w:basedOn w:val="RBBNumberedHeadingLevel2"/>
    <w:link w:val="RBBNumberedHeadingLevel3Char"/>
    <w:rsid w:val="00DB066E"/>
    <w:pPr>
      <w:numPr>
        <w:ilvl w:val="2"/>
      </w:numPr>
      <w:ind w:left="567"/>
    </w:pPr>
    <w:rPr>
      <w:sz w:val="20"/>
      <w:szCs w:val="20"/>
    </w:rPr>
  </w:style>
  <w:style w:type="character" w:customStyle="1" w:styleId="RBBNumberedHeadingLevel2Char">
    <w:name w:val="!RBB Numbered Heading_Level 2 Char"/>
    <w:link w:val="RBBNumberedHeadingLevel2"/>
    <w:rsid w:val="00DB066E"/>
    <w:rPr>
      <w:rFonts w:ascii="Calibri" w:eastAsia="Times New Roman" w:hAnsi="Calibri" w:cs="Arial"/>
      <w:b/>
      <w:sz w:val="24"/>
      <w:szCs w:val="24"/>
      <w:lang w:eastAsia="ru-RU"/>
    </w:rPr>
  </w:style>
  <w:style w:type="paragraph" w:customStyle="1" w:styleId="RBBNumberedHeadingLevel4">
    <w:name w:val="!RBB Numbered Heading_Level 4"/>
    <w:basedOn w:val="RBBNumberedHeadingLevel3"/>
    <w:link w:val="RBBNumberedHeadingLevel4Char"/>
    <w:rsid w:val="00DB066E"/>
    <w:pPr>
      <w:numPr>
        <w:ilvl w:val="3"/>
      </w:numPr>
      <w:ind w:left="1021" w:hanging="1021"/>
    </w:pPr>
  </w:style>
  <w:style w:type="character" w:customStyle="1" w:styleId="RBBNumberedHeadingLevel3Char">
    <w:name w:val="!RBB Numbered Heading_Level 3 Char"/>
    <w:link w:val="RBBNumberedHeadingLevel3"/>
    <w:rsid w:val="00DB066E"/>
    <w:rPr>
      <w:rFonts w:ascii="Calibri" w:eastAsia="Times New Roman" w:hAnsi="Calibri" w:cs="Arial"/>
      <w:b/>
      <w:sz w:val="20"/>
      <w:szCs w:val="20"/>
      <w:lang w:eastAsia="ru-RU"/>
    </w:rPr>
  </w:style>
  <w:style w:type="paragraph" w:customStyle="1" w:styleId="RBBNumberedHeadingLevel5">
    <w:name w:val="!RBB Numbered Heading_Level 5"/>
    <w:basedOn w:val="RBBNumberedHeadingLevel4"/>
    <w:link w:val="RBBNumberedHeadingLevel5Char"/>
    <w:rsid w:val="00DB066E"/>
    <w:pPr>
      <w:numPr>
        <w:ilvl w:val="4"/>
      </w:numPr>
      <w:ind w:left="1021" w:hanging="1021"/>
    </w:pPr>
    <w:rPr>
      <w:b w:val="0"/>
    </w:rPr>
  </w:style>
  <w:style w:type="character" w:customStyle="1" w:styleId="RBBNumberedHeadingLevel4Char">
    <w:name w:val="!RBB Numbered Heading_Level 4 Char"/>
    <w:link w:val="RBBNumberedHeadingLevel4"/>
    <w:rsid w:val="00DB066E"/>
    <w:rPr>
      <w:rFonts w:ascii="Calibri" w:eastAsia="Times New Roman" w:hAnsi="Calibri" w:cs="Arial"/>
      <w:b/>
      <w:sz w:val="20"/>
      <w:szCs w:val="20"/>
      <w:lang w:eastAsia="ru-RU"/>
    </w:rPr>
  </w:style>
  <w:style w:type="paragraph" w:customStyle="1" w:styleId="RBBTableText">
    <w:name w:val="!RBB Table Text"/>
    <w:basedOn w:val="RBBBodytext"/>
    <w:rsid w:val="00DB066E"/>
    <w:pPr>
      <w:spacing w:before="240" w:after="0"/>
    </w:pPr>
    <w:rPr>
      <w:rFonts w:cs="Times New Roman"/>
      <w:sz w:val="16"/>
      <w:szCs w:val="22"/>
    </w:rPr>
  </w:style>
  <w:style w:type="character" w:customStyle="1" w:styleId="RBBNumberedHeadingLevel5Char">
    <w:name w:val="!RBB Numbered Heading_Level 5 Char"/>
    <w:link w:val="RBBNumberedHeadingLevel5"/>
    <w:rsid w:val="00DB066E"/>
    <w:rPr>
      <w:rFonts w:ascii="Calibri" w:eastAsia="Times New Roman" w:hAnsi="Calibri" w:cs="Arial"/>
      <w:sz w:val="20"/>
      <w:szCs w:val="20"/>
      <w:lang w:eastAsia="ru-RU"/>
    </w:rPr>
  </w:style>
  <w:style w:type="paragraph" w:customStyle="1" w:styleId="RBBSource">
    <w:name w:val="!RBB Source"/>
    <w:basedOn w:val="RBBBodytext"/>
    <w:next w:val="RBBBodytext"/>
    <w:link w:val="RBBSourceChar"/>
    <w:autoRedefine/>
    <w:rsid w:val="00DB066E"/>
    <w:rPr>
      <w:i/>
      <w:sz w:val="16"/>
      <w:szCs w:val="18"/>
      <w:lang w:eastAsia="en-GB"/>
    </w:rPr>
  </w:style>
  <w:style w:type="paragraph" w:customStyle="1" w:styleId="TableHeading">
    <w:name w:val="Table Heading"/>
    <w:basedOn w:val="af1"/>
    <w:rsid w:val="00DB066E"/>
    <w:pPr>
      <w:spacing w:before="120" w:after="0"/>
    </w:pPr>
    <w:rPr>
      <w:b/>
      <w:bCs/>
      <w:color w:val="000000"/>
      <w:sz w:val="16"/>
      <w:szCs w:val="20"/>
      <w:lang w:eastAsia="en-GB"/>
    </w:rPr>
  </w:style>
  <w:style w:type="character" w:customStyle="1" w:styleId="RBBSourceChar">
    <w:name w:val="!RBB Source Char"/>
    <w:link w:val="RBBSource"/>
    <w:rsid w:val="00DB066E"/>
    <w:rPr>
      <w:rFonts w:ascii="Calibri" w:eastAsia="Times New Roman" w:hAnsi="Calibri" w:cs="Arial"/>
      <w:i/>
      <w:sz w:val="16"/>
      <w:szCs w:val="18"/>
      <w:lang w:eastAsia="en-GB"/>
    </w:rPr>
  </w:style>
  <w:style w:type="paragraph" w:styleId="af1">
    <w:name w:val="Body Text"/>
    <w:basedOn w:val="a"/>
    <w:link w:val="af2"/>
    <w:uiPriority w:val="99"/>
    <w:semiHidden/>
    <w:unhideWhenUsed/>
    <w:rsid w:val="00DB066E"/>
    <w:pPr>
      <w:spacing w:after="120" w:line="276" w:lineRule="auto"/>
    </w:pPr>
    <w:rPr>
      <w:rFonts w:ascii="Calibri" w:eastAsia="Times New Roman" w:hAnsi="Calibri" w:cs="Times New Roman"/>
      <w:lang w:eastAsia="ru-RU"/>
    </w:rPr>
  </w:style>
  <w:style w:type="character" w:customStyle="1" w:styleId="af2">
    <w:name w:val="Основной текст Знак"/>
    <w:basedOn w:val="a0"/>
    <w:link w:val="af1"/>
    <w:uiPriority w:val="99"/>
    <w:semiHidden/>
    <w:rsid w:val="00DB066E"/>
    <w:rPr>
      <w:rFonts w:ascii="Calibri" w:eastAsia="Times New Roman" w:hAnsi="Calibri" w:cs="Times New Roman"/>
      <w:lang w:eastAsia="ru-RU"/>
    </w:rPr>
  </w:style>
  <w:style w:type="paragraph" w:customStyle="1" w:styleId="RBBCaption">
    <w:name w:val="!RBB Caption"/>
    <w:basedOn w:val="RBBBodytext"/>
    <w:next w:val="RBBBodytext"/>
    <w:link w:val="RBBCaptionChar"/>
    <w:rsid w:val="00DB066E"/>
    <w:pPr>
      <w:keepNext/>
      <w:keepLines/>
      <w:spacing w:before="240" w:after="0"/>
    </w:pPr>
    <w:rPr>
      <w:b/>
      <w:sz w:val="16"/>
    </w:rPr>
  </w:style>
  <w:style w:type="paragraph" w:styleId="af3">
    <w:name w:val="endnote text"/>
    <w:basedOn w:val="a"/>
    <w:link w:val="af4"/>
    <w:uiPriority w:val="99"/>
    <w:semiHidden/>
    <w:unhideWhenUsed/>
    <w:rsid w:val="00DB066E"/>
    <w:pPr>
      <w:spacing w:after="0" w:line="240" w:lineRule="auto"/>
    </w:pPr>
    <w:rPr>
      <w:rFonts w:ascii="Calibri" w:eastAsia="Times New Roman" w:hAnsi="Calibri" w:cs="Times New Roman"/>
      <w:szCs w:val="20"/>
      <w:lang w:eastAsia="ru-RU"/>
    </w:rPr>
  </w:style>
  <w:style w:type="character" w:customStyle="1" w:styleId="af4">
    <w:name w:val="Текст концевой сноски Знак"/>
    <w:basedOn w:val="a0"/>
    <w:link w:val="af3"/>
    <w:uiPriority w:val="99"/>
    <w:semiHidden/>
    <w:rsid w:val="00DB066E"/>
    <w:rPr>
      <w:rFonts w:ascii="Calibri" w:eastAsia="Times New Roman" w:hAnsi="Calibri" w:cs="Times New Roman"/>
      <w:szCs w:val="20"/>
      <w:lang w:eastAsia="ru-RU"/>
    </w:rPr>
  </w:style>
  <w:style w:type="character" w:customStyle="1" w:styleId="RBBCaptionChar">
    <w:name w:val="!RBB Caption Char"/>
    <w:link w:val="RBBCaption"/>
    <w:rsid w:val="00DB066E"/>
    <w:rPr>
      <w:rFonts w:ascii="Calibri" w:eastAsia="Times New Roman" w:hAnsi="Calibri" w:cs="Arial"/>
      <w:b/>
      <w:sz w:val="16"/>
      <w:szCs w:val="16"/>
      <w:lang w:eastAsia="ru-RU"/>
    </w:rPr>
  </w:style>
  <w:style w:type="character" w:styleId="af5">
    <w:name w:val="endnote reference"/>
    <w:uiPriority w:val="99"/>
    <w:semiHidden/>
    <w:unhideWhenUsed/>
    <w:rsid w:val="00DB066E"/>
    <w:rPr>
      <w:vertAlign w:val="superscript"/>
    </w:rPr>
  </w:style>
  <w:style w:type="paragraph" w:customStyle="1" w:styleId="RBBFootnoteTextIndented">
    <w:name w:val="!RBB Footnote Text_Indented"/>
    <w:basedOn w:val="a"/>
    <w:rsid w:val="00DB066E"/>
    <w:pPr>
      <w:tabs>
        <w:tab w:val="left" w:pos="709"/>
      </w:tabs>
      <w:spacing w:before="40" w:after="0" w:line="276" w:lineRule="auto"/>
      <w:ind w:left="709" w:hanging="142"/>
    </w:pPr>
    <w:rPr>
      <w:rFonts w:ascii="Calibri" w:eastAsia="Times New Roman" w:hAnsi="Calibri" w:cs="Times New Roman"/>
      <w:sz w:val="14"/>
      <w:szCs w:val="14"/>
      <w:lang w:eastAsia="ru-RU"/>
    </w:rPr>
  </w:style>
  <w:style w:type="paragraph" w:customStyle="1" w:styleId="RBBFigureheading">
    <w:name w:val="!RBB Figure heading"/>
    <w:basedOn w:val="RBBBodytext"/>
    <w:next w:val="RBBBodytext"/>
    <w:rsid w:val="00DB066E"/>
    <w:pPr>
      <w:keepNext/>
      <w:spacing w:before="240" w:after="0"/>
    </w:pPr>
    <w:rPr>
      <w:b/>
      <w:sz w:val="16"/>
    </w:rPr>
  </w:style>
  <w:style w:type="paragraph" w:styleId="af6">
    <w:name w:val="Subtitle"/>
    <w:basedOn w:val="a"/>
    <w:next w:val="a"/>
    <w:link w:val="af7"/>
    <w:uiPriority w:val="11"/>
    <w:qFormat/>
    <w:rsid w:val="00DB066E"/>
    <w:pPr>
      <w:numPr>
        <w:ilvl w:val="1"/>
      </w:numPr>
      <w:spacing w:after="200" w:line="276" w:lineRule="auto"/>
    </w:pPr>
    <w:rPr>
      <w:rFonts w:ascii="Cambria" w:eastAsia="Times New Roman" w:hAnsi="Cambria" w:cs="Times New Roman"/>
      <w:i/>
      <w:iCs/>
      <w:color w:val="2DA2BF"/>
      <w:spacing w:val="15"/>
      <w:sz w:val="24"/>
      <w:szCs w:val="24"/>
      <w:lang w:eastAsia="ru-RU"/>
    </w:rPr>
  </w:style>
  <w:style w:type="character" w:customStyle="1" w:styleId="af7">
    <w:name w:val="Подзаголовок Знак"/>
    <w:basedOn w:val="a0"/>
    <w:link w:val="af6"/>
    <w:uiPriority w:val="11"/>
    <w:rsid w:val="00DB066E"/>
    <w:rPr>
      <w:rFonts w:ascii="Cambria" w:eastAsia="Times New Roman" w:hAnsi="Cambria" w:cs="Times New Roman"/>
      <w:i/>
      <w:iCs/>
      <w:color w:val="2DA2BF"/>
      <w:spacing w:val="15"/>
      <w:sz w:val="24"/>
      <w:szCs w:val="24"/>
      <w:lang w:eastAsia="ru-RU"/>
    </w:rPr>
  </w:style>
  <w:style w:type="paragraph" w:customStyle="1" w:styleId="RBBandDate">
    <w:name w:val="!RBB and Date"/>
    <w:basedOn w:val="RBBBodytext"/>
    <w:next w:val="RBBBodytext"/>
    <w:rsid w:val="00DB066E"/>
    <w:pPr>
      <w:spacing w:before="400" w:after="300"/>
    </w:pPr>
    <w:rPr>
      <w:b/>
      <w:sz w:val="16"/>
    </w:rPr>
  </w:style>
  <w:style w:type="paragraph" w:customStyle="1" w:styleId="RBBTabletitle">
    <w:name w:val="!RBB Table title"/>
    <w:basedOn w:val="a"/>
    <w:next w:val="RBBTableText"/>
    <w:link w:val="RBBTableheadingChar"/>
    <w:rsid w:val="00DB066E"/>
    <w:pPr>
      <w:keepNext/>
      <w:spacing w:before="240" w:after="0" w:line="276" w:lineRule="auto"/>
      <w:jc w:val="both"/>
    </w:pPr>
    <w:rPr>
      <w:rFonts w:ascii="Calibri" w:eastAsia="Times New Roman" w:hAnsi="Calibri" w:cs="Times New Roman"/>
      <w:b/>
      <w:color w:val="000000"/>
      <w:sz w:val="16"/>
      <w:szCs w:val="20"/>
      <w:lang w:eastAsia="en-GB"/>
    </w:rPr>
  </w:style>
  <w:style w:type="paragraph" w:customStyle="1" w:styleId="RBBTableheadingright">
    <w:name w:val="!RBB Table heading_right"/>
    <w:basedOn w:val="a"/>
    <w:link w:val="RBBTableheadingrightChar"/>
    <w:rsid w:val="00DB066E"/>
    <w:pPr>
      <w:spacing w:before="240" w:after="0" w:line="276" w:lineRule="auto"/>
      <w:jc w:val="right"/>
    </w:pPr>
    <w:rPr>
      <w:rFonts w:ascii="Calibri" w:eastAsia="Times New Roman" w:hAnsi="Calibri" w:cs="Times New Roman"/>
      <w:b/>
      <w:color w:val="000000"/>
      <w:sz w:val="16"/>
      <w:szCs w:val="20"/>
      <w:lang w:eastAsia="en-GB"/>
    </w:rPr>
  </w:style>
  <w:style w:type="character" w:customStyle="1" w:styleId="RBBTableheadingChar">
    <w:name w:val="!RBB Table heading Char"/>
    <w:link w:val="RBBTabletitle"/>
    <w:rsid w:val="00DB066E"/>
    <w:rPr>
      <w:rFonts w:ascii="Calibri" w:eastAsia="Times New Roman" w:hAnsi="Calibri" w:cs="Times New Roman"/>
      <w:b/>
      <w:color w:val="000000"/>
      <w:sz w:val="16"/>
      <w:szCs w:val="20"/>
      <w:lang w:eastAsia="en-GB"/>
    </w:rPr>
  </w:style>
  <w:style w:type="paragraph" w:customStyle="1" w:styleId="RBBTablefirstcolumn">
    <w:name w:val="!RBB Table first column"/>
    <w:basedOn w:val="a"/>
    <w:link w:val="RBBTablefirstcolumnChar"/>
    <w:rsid w:val="00DB066E"/>
    <w:pPr>
      <w:keepNext/>
      <w:autoSpaceDE w:val="0"/>
      <w:autoSpaceDN w:val="0"/>
      <w:adjustRightInd w:val="0"/>
      <w:spacing w:before="240" w:after="0" w:line="276" w:lineRule="auto"/>
    </w:pPr>
    <w:rPr>
      <w:rFonts w:ascii="Calibri" w:eastAsia="Times New Roman" w:hAnsi="Calibri" w:cs="Times New Roman"/>
      <w:b/>
      <w:color w:val="000000"/>
      <w:sz w:val="16"/>
      <w:szCs w:val="20"/>
      <w:lang w:eastAsia="en-GB"/>
    </w:rPr>
  </w:style>
  <w:style w:type="character" w:customStyle="1" w:styleId="RBBTableheadingrightChar">
    <w:name w:val="!RBB Table heading_right Char"/>
    <w:link w:val="RBBTableheadingright"/>
    <w:rsid w:val="00DB066E"/>
    <w:rPr>
      <w:rFonts w:ascii="Calibri" w:eastAsia="Times New Roman" w:hAnsi="Calibri" w:cs="Times New Roman"/>
      <w:b/>
      <w:color w:val="000000"/>
      <w:sz w:val="16"/>
      <w:szCs w:val="20"/>
      <w:lang w:eastAsia="en-GB"/>
    </w:rPr>
  </w:style>
  <w:style w:type="paragraph" w:customStyle="1" w:styleId="RBBTablenumbers">
    <w:name w:val="!RBB Table numbers"/>
    <w:basedOn w:val="a"/>
    <w:link w:val="RBBTablenumbersChar"/>
    <w:rsid w:val="00DB066E"/>
    <w:pPr>
      <w:keepNext/>
      <w:autoSpaceDE w:val="0"/>
      <w:autoSpaceDN w:val="0"/>
      <w:adjustRightInd w:val="0"/>
      <w:spacing w:before="240" w:after="0" w:line="276" w:lineRule="auto"/>
      <w:jc w:val="right"/>
    </w:pPr>
    <w:rPr>
      <w:rFonts w:ascii="Calibri" w:eastAsia="Times New Roman" w:hAnsi="Calibri" w:cs="Times New Roman"/>
      <w:color w:val="000000"/>
      <w:sz w:val="16"/>
      <w:szCs w:val="20"/>
      <w:lang w:eastAsia="en-GB"/>
    </w:rPr>
  </w:style>
  <w:style w:type="character" w:customStyle="1" w:styleId="RBBTablefirstcolumnChar">
    <w:name w:val="!RBB Table first column Char"/>
    <w:link w:val="RBBTablefirstcolumn"/>
    <w:rsid w:val="00DB066E"/>
    <w:rPr>
      <w:rFonts w:ascii="Calibri" w:eastAsia="Times New Roman" w:hAnsi="Calibri" w:cs="Times New Roman"/>
      <w:b/>
      <w:color w:val="000000"/>
      <w:sz w:val="16"/>
      <w:szCs w:val="20"/>
      <w:lang w:eastAsia="en-GB"/>
    </w:rPr>
  </w:style>
  <w:style w:type="paragraph" w:customStyle="1" w:styleId="RBBTableheading">
    <w:name w:val="!RBB Table heading"/>
    <w:basedOn w:val="a"/>
    <w:link w:val="RBBTableheadingChar1"/>
    <w:rsid w:val="00DB066E"/>
    <w:pPr>
      <w:keepNext/>
      <w:spacing w:before="240" w:after="0" w:line="276" w:lineRule="auto"/>
      <w:jc w:val="both"/>
    </w:pPr>
    <w:rPr>
      <w:rFonts w:ascii="Calibri" w:eastAsia="Times New Roman" w:hAnsi="Calibri" w:cs="Times New Roman"/>
      <w:b/>
      <w:color w:val="000000"/>
      <w:sz w:val="16"/>
      <w:szCs w:val="20"/>
      <w:lang w:eastAsia="en-GB"/>
    </w:rPr>
  </w:style>
  <w:style w:type="character" w:customStyle="1" w:styleId="RBBTablenumbersChar">
    <w:name w:val="!RBB Table numbers Char"/>
    <w:link w:val="RBBTablenumbers"/>
    <w:rsid w:val="00DB066E"/>
    <w:rPr>
      <w:rFonts w:ascii="Calibri" w:eastAsia="Times New Roman" w:hAnsi="Calibri" w:cs="Times New Roman"/>
      <w:color w:val="000000"/>
      <w:sz w:val="16"/>
      <w:szCs w:val="20"/>
      <w:lang w:eastAsia="en-GB"/>
    </w:rPr>
  </w:style>
  <w:style w:type="paragraph" w:customStyle="1" w:styleId="RBBQuotation">
    <w:name w:val="!RBB Quotation"/>
    <w:basedOn w:val="RBBBodytext"/>
    <w:next w:val="RBBBodytext"/>
    <w:link w:val="RBBQuotationChar"/>
    <w:rsid w:val="00DB066E"/>
    <w:pPr>
      <w:ind w:left="851" w:right="851"/>
    </w:pPr>
    <w:rPr>
      <w:i/>
    </w:rPr>
  </w:style>
  <w:style w:type="character" w:customStyle="1" w:styleId="RBBTableheadingChar1">
    <w:name w:val="!RBB Table heading Char1"/>
    <w:link w:val="RBBTableheading"/>
    <w:rsid w:val="00DB066E"/>
    <w:rPr>
      <w:rFonts w:ascii="Calibri" w:eastAsia="Times New Roman" w:hAnsi="Calibri" w:cs="Times New Roman"/>
      <w:b/>
      <w:color w:val="000000"/>
      <w:sz w:val="16"/>
      <w:szCs w:val="20"/>
      <w:lang w:eastAsia="en-GB"/>
    </w:rPr>
  </w:style>
  <w:style w:type="character" w:customStyle="1" w:styleId="RBBQuotationChar">
    <w:name w:val="!RBB Quotation Char"/>
    <w:link w:val="RBBQuotation"/>
    <w:rsid w:val="00DB066E"/>
    <w:rPr>
      <w:rFonts w:ascii="Calibri" w:eastAsia="Times New Roman" w:hAnsi="Calibri" w:cs="Arial"/>
      <w:i/>
      <w:szCs w:val="16"/>
      <w:lang w:eastAsia="ru-RU"/>
    </w:rPr>
  </w:style>
  <w:style w:type="paragraph" w:customStyle="1" w:styleId="RBBAnnexnumbering">
    <w:name w:val="!RBB Annex numbering"/>
    <w:basedOn w:val="RBBBodytext"/>
    <w:next w:val="RBBBodytext"/>
    <w:link w:val="RBBAnnexnumberingChar"/>
    <w:rsid w:val="00DB066E"/>
    <w:pPr>
      <w:numPr>
        <w:numId w:val="12"/>
      </w:numPr>
      <w:spacing w:before="480"/>
    </w:pPr>
    <w:rPr>
      <w:b/>
      <w:sz w:val="24"/>
      <w:szCs w:val="24"/>
      <w:lang w:eastAsia="en-GB"/>
    </w:rPr>
  </w:style>
  <w:style w:type="paragraph" w:customStyle="1" w:styleId="RBBAnnexnumberingB">
    <w:name w:val="!RBB Annex numbering_B"/>
    <w:basedOn w:val="RBBBodytext"/>
    <w:next w:val="RBBBodytext"/>
    <w:link w:val="RBBAnnexnumberingBChar"/>
    <w:rsid w:val="00DB066E"/>
    <w:pPr>
      <w:numPr>
        <w:numId w:val="13"/>
      </w:numPr>
      <w:spacing w:before="480"/>
    </w:pPr>
    <w:rPr>
      <w:b/>
      <w:sz w:val="24"/>
      <w:lang w:eastAsia="en-GB"/>
    </w:rPr>
  </w:style>
  <w:style w:type="character" w:customStyle="1" w:styleId="RBBAnnexnumberingChar">
    <w:name w:val="!RBB Annex numbering Char"/>
    <w:link w:val="RBBAnnexnumbering"/>
    <w:rsid w:val="00DB066E"/>
    <w:rPr>
      <w:rFonts w:ascii="Calibri" w:eastAsia="Times New Roman" w:hAnsi="Calibri" w:cs="Arial"/>
      <w:b/>
      <w:sz w:val="24"/>
      <w:szCs w:val="24"/>
      <w:lang w:eastAsia="en-GB"/>
    </w:rPr>
  </w:style>
  <w:style w:type="character" w:customStyle="1" w:styleId="RBBAnnexnumberingBChar">
    <w:name w:val="!RBB Annex numbering_B Char"/>
    <w:link w:val="RBBAnnexnumberingB"/>
    <w:rsid w:val="00DB066E"/>
    <w:rPr>
      <w:rFonts w:ascii="Calibri" w:eastAsia="Times New Roman" w:hAnsi="Calibri" w:cs="Arial"/>
      <w:b/>
      <w:sz w:val="24"/>
      <w:szCs w:val="16"/>
      <w:lang w:eastAsia="en-GB"/>
    </w:rPr>
  </w:style>
  <w:style w:type="paragraph" w:customStyle="1" w:styleId="RBBTableCaption">
    <w:name w:val="!RBB Table Caption"/>
    <w:basedOn w:val="a"/>
    <w:next w:val="a"/>
    <w:link w:val="RBBTableCaptionChar"/>
    <w:rsid w:val="00DB066E"/>
    <w:pPr>
      <w:spacing w:before="240" w:after="0" w:line="276" w:lineRule="auto"/>
      <w:jc w:val="both"/>
    </w:pPr>
    <w:rPr>
      <w:rFonts w:ascii="Calibri" w:eastAsia="Times New Roman" w:hAnsi="Calibri" w:cs="Times New Roman"/>
      <w:b/>
      <w:color w:val="000000"/>
      <w:sz w:val="16"/>
      <w:szCs w:val="20"/>
      <w:lang w:eastAsia="en-GB"/>
    </w:rPr>
  </w:style>
  <w:style w:type="character" w:customStyle="1" w:styleId="RBBTableCaptionChar">
    <w:name w:val="!RBB Table Caption Char"/>
    <w:link w:val="RBBTableCaption"/>
    <w:rsid w:val="00DB066E"/>
    <w:rPr>
      <w:rFonts w:ascii="Calibri" w:eastAsia="Times New Roman" w:hAnsi="Calibri" w:cs="Times New Roman"/>
      <w:b/>
      <w:color w:val="000000"/>
      <w:sz w:val="16"/>
      <w:szCs w:val="20"/>
      <w:lang w:eastAsia="en-GB"/>
    </w:rPr>
  </w:style>
  <w:style w:type="paragraph" w:styleId="af8">
    <w:name w:val="caption"/>
    <w:basedOn w:val="a"/>
    <w:next w:val="a"/>
    <w:uiPriority w:val="35"/>
    <w:qFormat/>
    <w:rsid w:val="00DB066E"/>
    <w:pPr>
      <w:spacing w:after="200" w:line="240" w:lineRule="auto"/>
    </w:pPr>
    <w:rPr>
      <w:rFonts w:ascii="Calibri" w:eastAsia="Times New Roman" w:hAnsi="Calibri" w:cs="Times New Roman"/>
      <w:b/>
      <w:bCs/>
      <w:color w:val="2DA2BF"/>
      <w:sz w:val="18"/>
      <w:szCs w:val="18"/>
      <w:lang w:eastAsia="ru-RU"/>
    </w:rPr>
  </w:style>
  <w:style w:type="paragraph" w:customStyle="1" w:styleId="Style1">
    <w:name w:val="Style1"/>
    <w:basedOn w:val="a"/>
    <w:rsid w:val="00DB066E"/>
    <w:pPr>
      <w:numPr>
        <w:numId w:val="14"/>
      </w:numPr>
      <w:spacing w:after="240" w:line="276" w:lineRule="auto"/>
      <w:ind w:left="851"/>
    </w:pPr>
    <w:rPr>
      <w:rFonts w:ascii="Calibri" w:eastAsia="Times New Roman" w:hAnsi="Calibri" w:cs="Times New Roman"/>
      <w:lang w:eastAsia="ru-RU"/>
    </w:rPr>
  </w:style>
  <w:style w:type="paragraph" w:customStyle="1" w:styleId="RBBBox">
    <w:name w:val="!RBB Box"/>
    <w:basedOn w:val="RBBBodytext"/>
    <w:link w:val="RBBBoxChar"/>
    <w:rsid w:val="00DB066E"/>
    <w:pPr>
      <w:pBdr>
        <w:top w:val="single" w:sz="4" w:space="10" w:color="auto"/>
        <w:left w:val="single" w:sz="4" w:space="10" w:color="auto"/>
        <w:bottom w:val="single" w:sz="4" w:space="10" w:color="auto"/>
        <w:right w:val="single" w:sz="4" w:space="10" w:color="auto"/>
      </w:pBdr>
      <w:shd w:val="clear" w:color="auto" w:fill="D9D9D9"/>
    </w:pPr>
  </w:style>
  <w:style w:type="character" w:customStyle="1" w:styleId="RBBBoxChar">
    <w:name w:val="!RBB Box Char"/>
    <w:link w:val="RBBBox"/>
    <w:rsid w:val="00DB066E"/>
    <w:rPr>
      <w:rFonts w:ascii="Calibri" w:eastAsia="Times New Roman" w:hAnsi="Calibri" w:cs="Arial"/>
      <w:szCs w:val="16"/>
      <w:shd w:val="clear" w:color="auto" w:fill="D9D9D9"/>
      <w:lang w:eastAsia="ru-RU"/>
    </w:rPr>
  </w:style>
  <w:style w:type="paragraph" w:customStyle="1" w:styleId="RBBBoxTitle">
    <w:name w:val="!RBB Box Title"/>
    <w:basedOn w:val="RBBBox"/>
    <w:next w:val="RBBBox"/>
    <w:rsid w:val="00DB066E"/>
    <w:pPr>
      <w:keepNext/>
      <w:jc w:val="center"/>
    </w:pPr>
    <w:rPr>
      <w:b/>
    </w:rPr>
  </w:style>
  <w:style w:type="paragraph" w:customStyle="1" w:styleId="RBBBoxSubtitle">
    <w:name w:val="!RBB Box Subtitle"/>
    <w:basedOn w:val="RBBBox"/>
    <w:next w:val="RBBBox"/>
    <w:rsid w:val="00DB066E"/>
    <w:pPr>
      <w:keepNext/>
      <w:jc w:val="center"/>
    </w:pPr>
    <w:rPr>
      <w:b/>
      <w:sz w:val="16"/>
    </w:rPr>
  </w:style>
  <w:style w:type="character" w:styleId="af9">
    <w:name w:val="annotation reference"/>
    <w:uiPriority w:val="99"/>
    <w:semiHidden/>
    <w:unhideWhenUsed/>
    <w:rsid w:val="00DB066E"/>
    <w:rPr>
      <w:sz w:val="16"/>
      <w:szCs w:val="16"/>
    </w:rPr>
  </w:style>
  <w:style w:type="paragraph" w:styleId="afa">
    <w:name w:val="annotation text"/>
    <w:basedOn w:val="a"/>
    <w:link w:val="afb"/>
    <w:uiPriority w:val="99"/>
    <w:unhideWhenUsed/>
    <w:rsid w:val="00DB066E"/>
    <w:pPr>
      <w:spacing w:after="200" w:line="240" w:lineRule="auto"/>
    </w:pPr>
    <w:rPr>
      <w:rFonts w:ascii="Calibri" w:eastAsia="Times New Roman" w:hAnsi="Calibri" w:cs="Times New Roman"/>
      <w:szCs w:val="20"/>
      <w:lang w:eastAsia="ru-RU"/>
    </w:rPr>
  </w:style>
  <w:style w:type="character" w:customStyle="1" w:styleId="afb">
    <w:name w:val="Текст примечания Знак"/>
    <w:basedOn w:val="a0"/>
    <w:link w:val="afa"/>
    <w:uiPriority w:val="99"/>
    <w:rsid w:val="00DB066E"/>
    <w:rPr>
      <w:rFonts w:ascii="Calibri" w:eastAsia="Times New Roman" w:hAnsi="Calibri" w:cs="Times New Roman"/>
      <w:szCs w:val="20"/>
      <w:lang w:eastAsia="ru-RU"/>
    </w:rPr>
  </w:style>
  <w:style w:type="paragraph" w:styleId="afc">
    <w:name w:val="annotation subject"/>
    <w:basedOn w:val="afa"/>
    <w:next w:val="afa"/>
    <w:link w:val="afd"/>
    <w:uiPriority w:val="99"/>
    <w:semiHidden/>
    <w:unhideWhenUsed/>
    <w:rsid w:val="00DB066E"/>
    <w:rPr>
      <w:b/>
      <w:bCs/>
    </w:rPr>
  </w:style>
  <w:style w:type="character" w:customStyle="1" w:styleId="afd">
    <w:name w:val="Тема примечания Знак"/>
    <w:basedOn w:val="afb"/>
    <w:link w:val="afc"/>
    <w:uiPriority w:val="99"/>
    <w:semiHidden/>
    <w:rsid w:val="00DB066E"/>
    <w:rPr>
      <w:rFonts w:ascii="Calibri" w:eastAsia="Times New Roman" w:hAnsi="Calibri" w:cs="Times New Roman"/>
      <w:b/>
      <w:bCs/>
      <w:szCs w:val="20"/>
      <w:lang w:eastAsia="ru-RU"/>
    </w:rPr>
  </w:style>
  <w:style w:type="paragraph" w:customStyle="1" w:styleId="ColorfulShading-Accent11">
    <w:name w:val="Colorful Shading - Accent 11"/>
    <w:hidden/>
    <w:uiPriority w:val="99"/>
    <w:semiHidden/>
    <w:rsid w:val="00DB066E"/>
    <w:pPr>
      <w:spacing w:after="200" w:line="276" w:lineRule="auto"/>
    </w:pPr>
    <w:rPr>
      <w:rFonts w:ascii="Arial" w:eastAsia="Times New Roman" w:hAnsi="Arial" w:cs="Times New Roman"/>
      <w:lang w:val="en-GB"/>
    </w:rPr>
  </w:style>
  <w:style w:type="character" w:customStyle="1" w:styleId="afe">
    <w:name w:val="Гипертекстовая ссылка"/>
    <w:uiPriority w:val="99"/>
    <w:rsid w:val="00DB066E"/>
    <w:rPr>
      <w:color w:val="106BBE"/>
    </w:rPr>
  </w:style>
  <w:style w:type="paragraph" w:customStyle="1" w:styleId="aff">
    <w:name w:val="Комментарий"/>
    <w:basedOn w:val="a"/>
    <w:next w:val="a"/>
    <w:uiPriority w:val="99"/>
    <w:rsid w:val="00DB066E"/>
    <w:pPr>
      <w:autoSpaceDE w:val="0"/>
      <w:autoSpaceDN w:val="0"/>
      <w:adjustRightInd w:val="0"/>
      <w:spacing w:before="75" w:after="0" w:line="240" w:lineRule="auto"/>
      <w:ind w:left="170"/>
      <w:jc w:val="both"/>
    </w:pPr>
    <w:rPr>
      <w:rFonts w:ascii="Calibri" w:eastAsia="Times New Roman" w:hAnsi="Calibri" w:cs="Arial"/>
      <w:color w:val="353842"/>
      <w:sz w:val="24"/>
      <w:szCs w:val="24"/>
      <w:shd w:val="clear" w:color="auto" w:fill="F0F0F0"/>
      <w:lang w:eastAsia="ru-RU"/>
    </w:rPr>
  </w:style>
  <w:style w:type="paragraph" w:customStyle="1" w:styleId="aff0">
    <w:name w:val="Информация об изменениях документа"/>
    <w:basedOn w:val="aff"/>
    <w:next w:val="a"/>
    <w:uiPriority w:val="99"/>
    <w:rsid w:val="00DB066E"/>
    <w:rPr>
      <w:i/>
      <w:iCs/>
    </w:rPr>
  </w:style>
  <w:style w:type="paragraph" w:customStyle="1" w:styleId="aff1">
    <w:name w:val="Прижатый влево"/>
    <w:basedOn w:val="a"/>
    <w:next w:val="a"/>
    <w:uiPriority w:val="99"/>
    <w:rsid w:val="00DB066E"/>
    <w:pPr>
      <w:autoSpaceDE w:val="0"/>
      <w:autoSpaceDN w:val="0"/>
      <w:adjustRightInd w:val="0"/>
      <w:spacing w:after="0" w:line="240" w:lineRule="auto"/>
    </w:pPr>
    <w:rPr>
      <w:rFonts w:ascii="Calibri" w:eastAsia="Times New Roman" w:hAnsi="Calibri" w:cs="Arial"/>
      <w:sz w:val="24"/>
      <w:szCs w:val="24"/>
      <w:lang w:eastAsia="ru-RU"/>
    </w:rPr>
  </w:style>
  <w:style w:type="character" w:customStyle="1" w:styleId="apple-converted-space">
    <w:name w:val="apple-converted-space"/>
    <w:basedOn w:val="a0"/>
    <w:rsid w:val="00DB066E"/>
  </w:style>
  <w:style w:type="character" w:styleId="aff2">
    <w:name w:val="FollowedHyperlink"/>
    <w:uiPriority w:val="99"/>
    <w:semiHidden/>
    <w:unhideWhenUsed/>
    <w:rsid w:val="00DB066E"/>
    <w:rPr>
      <w:color w:val="800080"/>
      <w:u w:val="single"/>
    </w:rPr>
  </w:style>
  <w:style w:type="paragraph" w:customStyle="1" w:styleId="aff3">
    <w:name w:val="Нормальный (таблица)"/>
    <w:basedOn w:val="a"/>
    <w:next w:val="a"/>
    <w:uiPriority w:val="99"/>
    <w:rsid w:val="00DB066E"/>
    <w:pPr>
      <w:autoSpaceDE w:val="0"/>
      <w:autoSpaceDN w:val="0"/>
      <w:adjustRightInd w:val="0"/>
      <w:spacing w:after="0" w:line="240" w:lineRule="auto"/>
      <w:jc w:val="both"/>
    </w:pPr>
    <w:rPr>
      <w:rFonts w:ascii="Calibri" w:eastAsia="Times New Roman" w:hAnsi="Calibri" w:cs="Arial"/>
      <w:sz w:val="24"/>
      <w:szCs w:val="24"/>
      <w:lang w:eastAsia="ru-RU"/>
    </w:rPr>
  </w:style>
  <w:style w:type="character" w:customStyle="1" w:styleId="aff4">
    <w:name w:val="Сравнение редакций. Удаленный фрагмент"/>
    <w:uiPriority w:val="99"/>
    <w:rsid w:val="00DB066E"/>
    <w:rPr>
      <w:color w:val="000000"/>
      <w:shd w:val="clear" w:color="auto" w:fill="C4C413"/>
    </w:rPr>
  </w:style>
  <w:style w:type="character" w:styleId="aff5">
    <w:name w:val="Strong"/>
    <w:uiPriority w:val="22"/>
    <w:qFormat/>
    <w:rsid w:val="00DB066E"/>
    <w:rPr>
      <w:b/>
      <w:bCs/>
    </w:rPr>
  </w:style>
  <w:style w:type="character" w:styleId="aff6">
    <w:name w:val="Emphasis"/>
    <w:uiPriority w:val="20"/>
    <w:qFormat/>
    <w:rsid w:val="00DB066E"/>
    <w:rPr>
      <w:i/>
      <w:iCs/>
    </w:rPr>
  </w:style>
  <w:style w:type="paragraph" w:customStyle="1" w:styleId="MediumGrid21">
    <w:name w:val="Medium Grid 21"/>
    <w:uiPriority w:val="1"/>
    <w:qFormat/>
    <w:rsid w:val="00DB066E"/>
    <w:pPr>
      <w:spacing w:after="0" w:line="240" w:lineRule="auto"/>
    </w:pPr>
    <w:rPr>
      <w:rFonts w:ascii="Calibri" w:eastAsia="Times New Roman" w:hAnsi="Calibri" w:cs="Times New Roman"/>
      <w:lang w:eastAsia="ru-RU"/>
    </w:rPr>
  </w:style>
  <w:style w:type="paragraph" w:customStyle="1" w:styleId="ColorfulGrid-Accent11">
    <w:name w:val="Colorful Grid - Accent 11"/>
    <w:basedOn w:val="a"/>
    <w:next w:val="a"/>
    <w:link w:val="ColorfulGrid-Accent1Char"/>
    <w:uiPriority w:val="29"/>
    <w:qFormat/>
    <w:rsid w:val="00DB066E"/>
    <w:pPr>
      <w:spacing w:after="200" w:line="276" w:lineRule="auto"/>
    </w:pPr>
    <w:rPr>
      <w:rFonts w:ascii="Calibri" w:eastAsia="Times New Roman" w:hAnsi="Calibri" w:cs="Times New Roman"/>
      <w:i/>
      <w:iCs/>
      <w:color w:val="000000"/>
      <w:lang w:eastAsia="ru-RU"/>
    </w:rPr>
  </w:style>
  <w:style w:type="character" w:customStyle="1" w:styleId="ColorfulGrid-Accent1Char">
    <w:name w:val="Colorful Grid - Accent 1 Char"/>
    <w:link w:val="ColorfulGrid-Accent11"/>
    <w:uiPriority w:val="29"/>
    <w:rsid w:val="00DB066E"/>
    <w:rPr>
      <w:rFonts w:ascii="Calibri" w:eastAsia="Times New Roman" w:hAnsi="Calibri" w:cs="Times New Roman"/>
      <w:i/>
      <w:iCs/>
      <w:color w:val="000000"/>
      <w:lang w:eastAsia="ru-RU"/>
    </w:rPr>
  </w:style>
  <w:style w:type="paragraph" w:customStyle="1" w:styleId="LightShading-Accent21">
    <w:name w:val="Light Shading - Accent 21"/>
    <w:basedOn w:val="a"/>
    <w:next w:val="a"/>
    <w:link w:val="LightShading-Accent2Char"/>
    <w:uiPriority w:val="30"/>
    <w:qFormat/>
    <w:rsid w:val="00DB066E"/>
    <w:pPr>
      <w:pBdr>
        <w:bottom w:val="single" w:sz="4" w:space="4" w:color="2DA2BF"/>
      </w:pBdr>
      <w:spacing w:before="200" w:after="280" w:line="276" w:lineRule="auto"/>
      <w:ind w:left="936" w:right="936"/>
    </w:pPr>
    <w:rPr>
      <w:rFonts w:ascii="Calibri" w:eastAsia="Times New Roman" w:hAnsi="Calibri" w:cs="Times New Roman"/>
      <w:b/>
      <w:bCs/>
      <w:i/>
      <w:iCs/>
      <w:color w:val="2DA2BF"/>
      <w:lang w:eastAsia="ru-RU"/>
    </w:rPr>
  </w:style>
  <w:style w:type="character" w:customStyle="1" w:styleId="LightShading-Accent2Char">
    <w:name w:val="Light Shading - Accent 2 Char"/>
    <w:link w:val="LightShading-Accent21"/>
    <w:uiPriority w:val="30"/>
    <w:rsid w:val="00DB066E"/>
    <w:rPr>
      <w:rFonts w:ascii="Calibri" w:eastAsia="Times New Roman" w:hAnsi="Calibri" w:cs="Times New Roman"/>
      <w:b/>
      <w:bCs/>
      <w:i/>
      <w:iCs/>
      <w:color w:val="2DA2BF"/>
      <w:lang w:eastAsia="ru-RU"/>
    </w:rPr>
  </w:style>
  <w:style w:type="character" w:customStyle="1" w:styleId="11">
    <w:name w:val="Слабое выделение1"/>
    <w:uiPriority w:val="19"/>
    <w:qFormat/>
    <w:rsid w:val="00DB066E"/>
    <w:rPr>
      <w:i/>
      <w:iCs/>
      <w:color w:val="808080"/>
    </w:rPr>
  </w:style>
  <w:style w:type="character" w:customStyle="1" w:styleId="12">
    <w:name w:val="Сильное выделение1"/>
    <w:uiPriority w:val="21"/>
    <w:qFormat/>
    <w:rsid w:val="00DB066E"/>
    <w:rPr>
      <w:b/>
      <w:bCs/>
      <w:i/>
      <w:iCs/>
      <w:color w:val="2DA2BF"/>
    </w:rPr>
  </w:style>
  <w:style w:type="character" w:customStyle="1" w:styleId="13">
    <w:name w:val="Слабая ссылка1"/>
    <w:uiPriority w:val="31"/>
    <w:qFormat/>
    <w:rsid w:val="00DB066E"/>
    <w:rPr>
      <w:smallCaps/>
      <w:color w:val="DA1F28"/>
      <w:u w:val="single"/>
    </w:rPr>
  </w:style>
  <w:style w:type="character" w:customStyle="1" w:styleId="14">
    <w:name w:val="Сильная ссылка1"/>
    <w:uiPriority w:val="32"/>
    <w:qFormat/>
    <w:rsid w:val="00DB066E"/>
    <w:rPr>
      <w:b/>
      <w:bCs/>
      <w:smallCaps/>
      <w:color w:val="DA1F28"/>
      <w:spacing w:val="5"/>
      <w:u w:val="single"/>
    </w:rPr>
  </w:style>
  <w:style w:type="character" w:customStyle="1" w:styleId="15">
    <w:name w:val="Название книги1"/>
    <w:uiPriority w:val="33"/>
    <w:qFormat/>
    <w:rsid w:val="00DB066E"/>
    <w:rPr>
      <w:b/>
      <w:bCs/>
      <w:smallCaps/>
      <w:spacing w:val="5"/>
    </w:rPr>
  </w:style>
  <w:style w:type="paragraph" w:customStyle="1" w:styleId="16">
    <w:name w:val="Заголовок оглавления1"/>
    <w:basedOn w:val="1"/>
    <w:next w:val="a"/>
    <w:uiPriority w:val="39"/>
    <w:semiHidden/>
    <w:unhideWhenUsed/>
    <w:qFormat/>
    <w:rsid w:val="00DB066E"/>
    <w:pPr>
      <w:outlineLvl w:val="9"/>
    </w:pPr>
  </w:style>
  <w:style w:type="paragraph" w:styleId="17">
    <w:name w:val="toc 1"/>
    <w:basedOn w:val="a"/>
    <w:next w:val="a"/>
    <w:autoRedefine/>
    <w:uiPriority w:val="39"/>
    <w:unhideWhenUsed/>
    <w:rsid w:val="00DB066E"/>
    <w:pPr>
      <w:spacing w:after="200" w:line="276" w:lineRule="auto"/>
    </w:pPr>
    <w:rPr>
      <w:rFonts w:ascii="Calibri" w:eastAsia="Times New Roman" w:hAnsi="Calibri" w:cs="Times New Roman"/>
      <w:lang w:eastAsia="ru-RU"/>
    </w:rPr>
  </w:style>
  <w:style w:type="paragraph" w:styleId="21">
    <w:name w:val="toc 2"/>
    <w:basedOn w:val="a"/>
    <w:next w:val="a"/>
    <w:autoRedefine/>
    <w:uiPriority w:val="39"/>
    <w:unhideWhenUsed/>
    <w:rsid w:val="00DB066E"/>
    <w:pPr>
      <w:tabs>
        <w:tab w:val="right" w:leader="dot" w:pos="8494"/>
      </w:tabs>
      <w:spacing w:after="0" w:line="240" w:lineRule="auto"/>
      <w:ind w:left="220"/>
      <w:jc w:val="both"/>
    </w:pPr>
    <w:rPr>
      <w:rFonts w:ascii="Calibri" w:eastAsia="Times New Roman" w:hAnsi="Calibri" w:cs="Times New Roman"/>
      <w:lang w:eastAsia="ru-RU"/>
    </w:rPr>
  </w:style>
  <w:style w:type="paragraph" w:styleId="31">
    <w:name w:val="toc 3"/>
    <w:basedOn w:val="a"/>
    <w:next w:val="a"/>
    <w:autoRedefine/>
    <w:uiPriority w:val="39"/>
    <w:unhideWhenUsed/>
    <w:rsid w:val="00DB066E"/>
    <w:pPr>
      <w:spacing w:after="200" w:line="276" w:lineRule="auto"/>
      <w:ind w:left="440"/>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FD3238610D79BB722C5BE30ADF45F80EF33F9C830225137D0F8BE2817B961F7562191A20CF6839sCw1M" TargetMode="External"/><Relationship Id="rId18" Type="http://schemas.openxmlformats.org/officeDocument/2006/relationships/hyperlink" Target="consultantplus://offline/ref=328F5D8B6ABBBFF60CE707213488FF672C265DF0A20D8E6B5B2939B8F823948189EDDF85E57BE9ABN2vDH" TargetMode="External"/><Relationship Id="rId26" Type="http://schemas.openxmlformats.org/officeDocument/2006/relationships/hyperlink" Target="consultantplus://offline/ref=BC5DE95A317017FD78D3C1BDF1CEA7A75E57C91EEEAF26A58358CF90AF806C2779FBA5DD2DE186FEz1rDK" TargetMode="External"/><Relationship Id="rId39" Type="http://schemas.openxmlformats.org/officeDocument/2006/relationships/hyperlink" Target="consultantplus://offline/ref=3B51AFB668C5610ACC4254B1A77B0BBACBE6D8E3A998ADD40AC6382B0A1DC399D6FBB194Y9xBI" TargetMode="External"/><Relationship Id="rId21" Type="http://schemas.openxmlformats.org/officeDocument/2006/relationships/hyperlink" Target="consultantplus://offline/ref=0F495E591AB536EC9AE528730B86D2F77C68E54F186016D04D5CB2E6E1854FC3583C9457A31CF574vAP0I" TargetMode="External"/><Relationship Id="rId34" Type="http://schemas.openxmlformats.org/officeDocument/2006/relationships/hyperlink" Target="consultantplus://offline/ref=09CBC6E7B368B42C2DA398624CCD91C5F30E8A08CE51A27176501BDE84D4A18D50CB80E29ABBx1G" TargetMode="External"/><Relationship Id="rId42" Type="http://schemas.openxmlformats.org/officeDocument/2006/relationships/hyperlink" Target="garantF1://10064072.15001" TargetMode="External"/><Relationship Id="rId47" Type="http://schemas.openxmlformats.org/officeDocument/2006/relationships/hyperlink" Target="consultantplus://offline/ref=61B257B3C7D624DADC34CFDC4B2909EC6A5F93D58B770A01570CE6B6EA88DE9150F059FDD354457DaBB3I" TargetMode="External"/><Relationship Id="rId50" Type="http://schemas.openxmlformats.org/officeDocument/2006/relationships/chart" Target="charts/chart1.xml"/><Relationship Id="rId55" Type="http://schemas.openxmlformats.org/officeDocument/2006/relationships/image" Target="media/image3.gif"/><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2XBRBI" TargetMode="External"/><Relationship Id="rId20" Type="http://schemas.openxmlformats.org/officeDocument/2006/relationships/hyperlink" Target="consultantplus://offline/ref=0F495E591AB536EC9AE528730B86D2F77C68E54F186016D04D5CB2E6E1854FC3583C9457A31CF574vAP4I" TargetMode="External"/><Relationship Id="rId29" Type="http://schemas.openxmlformats.org/officeDocument/2006/relationships/hyperlink" Target="consultantplus://offline/ref=BC5DE95A317017FD78D3C1BDF1CEA7A75E56CD12EAAB26A58358CF90AF806C2779FBA5DD2DE187F7z1rCK" TargetMode="External"/><Relationship Id="rId41" Type="http://schemas.openxmlformats.org/officeDocument/2006/relationships/hyperlink" Target="consultantplus://offline/ref=19580D6A3E9ED6AED2904A228164E2E6268E5C55788E0EFFB55248AD65364E07A4F620E919A9A0D2e8gAI" TargetMode="External"/><Relationship Id="rId54" Type="http://schemas.openxmlformats.org/officeDocument/2006/relationships/image" Target="media/image2.gif"/><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FD3238610D79BB722C5BE30ADF45F80EF33F9C830225137D0F8BE2817B961F7562191821sCwFM" TargetMode="External"/><Relationship Id="rId24" Type="http://schemas.openxmlformats.org/officeDocument/2006/relationships/hyperlink" Target="consultantplus://offline/ref=0F495E591AB536EC9AE528730B86D2F77C68E54F186016D04D5CB2E6E1854FC3583C9455A3v1PCI" TargetMode="External"/><Relationship Id="rId32" Type="http://schemas.openxmlformats.org/officeDocument/2006/relationships/hyperlink" Target="consultantplus://offline/ref=8DB6362BFEA32E469D59BB7D7C44534AB50B12276766079019F36EB40DD2FAC1D927734E33F3C16An6M3H" TargetMode="External"/><Relationship Id="rId37" Type="http://schemas.openxmlformats.org/officeDocument/2006/relationships/hyperlink" Target="consultantplus://offline/ref=65482FADC458E372E7583042EE894A74E771729B0BE651623B11FDD991088A0EACD2732F7D10AEB6MBi1I" TargetMode="External"/><Relationship Id="rId40" Type="http://schemas.openxmlformats.org/officeDocument/2006/relationships/hyperlink" Target="consultantplus://offline/ref=68CAB90FF4D32ED88F639548ED834AF647EF3B2335AC61FA0DE43680F9B17247831EB127x337L" TargetMode="External"/><Relationship Id="rId45" Type="http://schemas.openxmlformats.org/officeDocument/2006/relationships/hyperlink" Target="garantF1://10064072.15" TargetMode="External"/><Relationship Id="rId53" Type="http://schemas.openxmlformats.org/officeDocument/2006/relationships/image" Target="media/image1.gif"/><Relationship Id="rId58"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hyperlink" Target="consultantplus://offline/ref=CF2E04729FE8D414552EF5A7AA9D7CA1ECFEAA379D85858CB6F9EA983C2D19ADA634D8FC92973945XBRCI" TargetMode="External"/><Relationship Id="rId23" Type="http://schemas.openxmlformats.org/officeDocument/2006/relationships/hyperlink" Target="consultantplus://offline/ref=0F495E591AB536EC9AE528730B86D2F77C68E54F186016D04D5CB2E6E1854FC3583C9457A31CF47DvAP5I" TargetMode="External"/><Relationship Id="rId28" Type="http://schemas.openxmlformats.org/officeDocument/2006/relationships/hyperlink" Target="consultantplus://offline/ref=BC5DE95A317017FD78D3C1BDF1CEA7A75E56CD12EAAB26A58358CF90AF806C2779FBA5DD2DE186FEz1r9K" TargetMode="External"/><Relationship Id="rId36" Type="http://schemas.openxmlformats.org/officeDocument/2006/relationships/hyperlink" Target="consultantplus://offline/ref=6E4AF185DFCCF154F828145B385ABC2AB0B6B9244EA6F4849AA7E9A64976C59841313865AFs7r0K" TargetMode="External"/><Relationship Id="rId49" Type="http://schemas.openxmlformats.org/officeDocument/2006/relationships/hyperlink" Target="consultantplus://offline/ref=61B257B3C7D624DADC34CFDC4B2909EC6A5F93DF8E710A01570CE6B6EA88DE9150F059FDD354467DaBB2I" TargetMode="External"/><Relationship Id="rId57" Type="http://schemas.openxmlformats.org/officeDocument/2006/relationships/chart" Target="charts/chart5.xml"/><Relationship Id="rId61" Type="http://schemas.openxmlformats.org/officeDocument/2006/relationships/chart" Target="charts/chart9.xml"/><Relationship Id="rId10" Type="http://schemas.openxmlformats.org/officeDocument/2006/relationships/hyperlink" Target="consultantplus://offline/ref=5E27A05F0C9590DCFF9DEACC093E94513169B49EF00391799C2B19FFC640464E9E50563E25MFHAM" TargetMode="External"/><Relationship Id="rId19" Type="http://schemas.openxmlformats.org/officeDocument/2006/relationships/hyperlink" Target="consultantplus://offline/ref=328F5D8B6ABBBFF60CE707213488FF672C265DF0A20D8E6B5B2939B8F823948189EDDF82E2N7vFH" TargetMode="External"/><Relationship Id="rId31" Type="http://schemas.openxmlformats.org/officeDocument/2006/relationships/hyperlink" Target="consultantplus://offline/ref=BC5DE95A317017FD78D3C1BDF1CEA7A75E56CD12EAAB26A58358CF90AF806C2779FBA5DF28zEr2K" TargetMode="External"/><Relationship Id="rId44" Type="http://schemas.openxmlformats.org/officeDocument/2006/relationships/hyperlink" Target="garantF1://10064072.10642" TargetMode="External"/><Relationship Id="rId52" Type="http://schemas.openxmlformats.org/officeDocument/2006/relationships/chart" Target="charts/chart3.xml"/><Relationship Id="rId60"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hyperlink" Target="consultantplus://offline/ref=343B1993C5FD204A2E04C8FF0D39E17B0760D592EFBFB25210210346CAC32092C4ED456829D8G0M" TargetMode="External"/><Relationship Id="rId14" Type="http://schemas.openxmlformats.org/officeDocument/2006/relationships/hyperlink" Target="consultantplus://offline/ref=5DFD3238610D79BB722C5BE30ADF45F80EF33F9C830225137D0F8BE2817B961F7562191824sCwEM" TargetMode="External"/><Relationship Id="rId22" Type="http://schemas.openxmlformats.org/officeDocument/2006/relationships/hyperlink" Target="consultantplus://offline/ref=0F495E591AB536EC9AE528730B86D2F77C68E54F186016D04D5CB2E6E1854FC3583C9457A31CF47DvAP6I" TargetMode="External"/><Relationship Id="rId27" Type="http://schemas.openxmlformats.org/officeDocument/2006/relationships/hyperlink" Target="consultantplus://offline/ref=BC5DE95A317017FD78D3C1BDF1CEA7A75E56CD12EAAB26A58358CF90AF806C2779FBA5DD2DE186FEz1r6K" TargetMode="External"/><Relationship Id="rId30" Type="http://schemas.openxmlformats.org/officeDocument/2006/relationships/hyperlink" Target="consultantplus://offline/ref=BC5DE95A317017FD78D3C1BDF1CEA7A75E56CD12EAAB26A58358CF90AF806C2779FBA5DD2DE186FEz1r7K" TargetMode="External"/><Relationship Id="rId35" Type="http://schemas.openxmlformats.org/officeDocument/2006/relationships/hyperlink" Target="consultantplus://offline/ref=6E4AF185DFCCF154F828145B385ABC2AB0B6B9244EA6F4849AA7E9A64976C5984131386CAD79167DsBr4K" TargetMode="External"/><Relationship Id="rId43" Type="http://schemas.openxmlformats.org/officeDocument/2006/relationships/hyperlink" Target="garantF1://10064072.40102" TargetMode="External"/><Relationship Id="rId48" Type="http://schemas.openxmlformats.org/officeDocument/2006/relationships/hyperlink" Target="consultantplus://offline/ref=61B257B3C7D624DADC34CFDC4B2909EC6A5F93D58B770A01570CE6B6EA88DE9150F059FDD3544276aBB2I" TargetMode="External"/><Relationship Id="rId56" Type="http://schemas.openxmlformats.org/officeDocument/2006/relationships/chart" Target="charts/chart4.xml"/><Relationship Id="rId64" Type="http://schemas.openxmlformats.org/officeDocument/2006/relationships/theme" Target="theme/theme1.xml"/><Relationship Id="rId8" Type="http://schemas.openxmlformats.org/officeDocument/2006/relationships/hyperlink" Target="consultantplus://offline/ref=C90ECD3A4076B14028AB480C8DE99C960F219DEE4C6FB7627D38291E7FF923A1AEDBDA984E1862B6v2I" TargetMode="External"/><Relationship Id="rId51" Type="http://schemas.openxmlformats.org/officeDocument/2006/relationships/chart" Target="charts/chart2.xml"/><Relationship Id="rId3" Type="http://schemas.openxmlformats.org/officeDocument/2006/relationships/styles" Target="styles.xml"/><Relationship Id="rId12" Type="http://schemas.openxmlformats.org/officeDocument/2006/relationships/hyperlink" Target="consultantplus://offline/ref=5DFD3238610D79BB722C5BE30ADF45F80EF33F9C830225137D0F8BE2817B961F7562191821sCwBM" TargetMode="External"/><Relationship Id="rId17" Type="http://schemas.openxmlformats.org/officeDocument/2006/relationships/hyperlink" Target="consultantplus://offline/ref=754358845FA9443708A431EB43735FAEE9B6BA3B1999E51F6142E12C0C12B5CC61E18CD0DCA75D57jBu7H" TargetMode="External"/><Relationship Id="rId25" Type="http://schemas.openxmlformats.org/officeDocument/2006/relationships/hyperlink" Target="consultantplus://offline/ref=BC5DE95A317017FD78D3C1BDF1CEA7A75E56CD12EAAB26A58358CF90AF806C2779FBA5D92EzEr6K" TargetMode="External"/><Relationship Id="rId33" Type="http://schemas.openxmlformats.org/officeDocument/2006/relationships/hyperlink" Target="consultantplus://offline/ref=6E4AF185DFCCF154F828145B385ABC2AB0B7BE254EA0F4849AA7E9A64976C5984131386EAAs7r9K" TargetMode="External"/><Relationship Id="rId38" Type="http://schemas.openxmlformats.org/officeDocument/2006/relationships/hyperlink" Target="consultantplus://offline/ref=3B51AFB668C5610ACC4254B1A77B0BBAC8E0D6EDA499ADD40AC6382B0A1DC399D6FBB19693BB5D72Y6x3I" TargetMode="External"/><Relationship Id="rId46" Type="http://schemas.openxmlformats.org/officeDocument/2006/relationships/hyperlink" Target="http://kad.arbitr.ru/Card/f19c32fe-f324-4ed2-9ec2-f8d46b2211e6" TargetMode="External"/><Relationship Id="rId59" Type="http://schemas.openxmlformats.org/officeDocument/2006/relationships/chart" Target="charts/chart7.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andu\projects\damages\draft-2\&#1043;&#1088;&#1072;&#1092;&#1080;&#1082;&#1080;-1.5.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andu\projects\damages\draft-2\&#1043;&#1088;&#1072;&#1092;&#1080;&#1082;&#1080;-1.5.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andu\projects\damages\draft-2\&#1043;&#1088;&#1072;&#1092;&#1080;&#1082;&#1080;-1.5.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andu\projects\damages\draft-2\&#1043;&#1088;&#1072;&#1092;&#1080;&#1082;&#108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lineChart>
        <c:grouping val="standard"/>
        <c:ser>
          <c:idx val="1"/>
          <c:order val="0"/>
          <c:tx>
            <c:strRef>
              <c:f>Экстраполяция!$E$1</c:f>
              <c:strCache>
                <c:ptCount val="1"/>
                <c:pt idx="0">
                  <c:v>Фактическая цена</c:v>
                </c:pt>
              </c:strCache>
            </c:strRef>
          </c:tx>
          <c:spPr>
            <a:ln w="12703">
              <a:solidFill>
                <a:schemeClr val="tx1"/>
              </a:solidFill>
            </a:ln>
          </c:spPr>
          <c:marker>
            <c:symbol val="none"/>
          </c:marker>
          <c:cat>
            <c:numRef>
              <c:f>Экстраполяция!$D$2:$D$11</c:f>
              <c:numCache>
                <c:formatCode>General</c:formatCode>
                <c:ptCount val="10"/>
                <c:pt idx="1">
                  <c:v>2006</c:v>
                </c:pt>
                <c:pt idx="3">
                  <c:v>2008</c:v>
                </c:pt>
                <c:pt idx="5">
                  <c:v>2010</c:v>
                </c:pt>
                <c:pt idx="7">
                  <c:v>2012</c:v>
                </c:pt>
                <c:pt idx="9">
                  <c:v>2014</c:v>
                </c:pt>
              </c:numCache>
            </c:numRef>
          </c:cat>
          <c:val>
            <c:numRef>
              <c:f>Экстраполяция!$E$2:$E$11</c:f>
              <c:numCache>
                <c:formatCode>General</c:formatCode>
                <c:ptCount val="10"/>
                <c:pt idx="0">
                  <c:v>9.9328207739600689</c:v>
                </c:pt>
                <c:pt idx="1">
                  <c:v>9.5458922467342546</c:v>
                </c:pt>
                <c:pt idx="2">
                  <c:v>10.92713552349662</c:v>
                </c:pt>
                <c:pt idx="3">
                  <c:v>9.7200699588860537</c:v>
                </c:pt>
                <c:pt idx="4">
                  <c:v>10.091020198336931</c:v>
                </c:pt>
                <c:pt idx="5">
                  <c:v>8.7807823699860705</c:v>
                </c:pt>
                <c:pt idx="6">
                  <c:v>14.63031919276926</c:v>
                </c:pt>
                <c:pt idx="7">
                  <c:v>13.961977922799068</c:v>
                </c:pt>
                <c:pt idx="8">
                  <c:v>13.363416514102589</c:v>
                </c:pt>
                <c:pt idx="9">
                  <c:v>16.179835643506831</c:v>
                </c:pt>
              </c:numCache>
            </c:numRef>
          </c:val>
        </c:ser>
        <c:ser>
          <c:idx val="0"/>
          <c:order val="1"/>
          <c:tx>
            <c:strRef>
              <c:f>Экстраполяция!$F$1</c:f>
              <c:strCache>
                <c:ptCount val="1"/>
                <c:pt idx="0">
                  <c:v>Контрфактуальная цена</c:v>
                </c:pt>
              </c:strCache>
            </c:strRef>
          </c:tx>
          <c:spPr>
            <a:ln w="19054">
              <a:solidFill>
                <a:schemeClr val="tx1"/>
              </a:solidFill>
              <a:prstDash val="sysDot"/>
            </a:ln>
          </c:spPr>
          <c:marker>
            <c:symbol val="none"/>
          </c:marker>
          <c:cat>
            <c:numRef>
              <c:f>Экстраполяция!$D$2:$D$11</c:f>
              <c:numCache>
                <c:formatCode>General</c:formatCode>
                <c:ptCount val="10"/>
                <c:pt idx="1">
                  <c:v>2006</c:v>
                </c:pt>
                <c:pt idx="3">
                  <c:v>2008</c:v>
                </c:pt>
                <c:pt idx="5">
                  <c:v>2010</c:v>
                </c:pt>
                <c:pt idx="7">
                  <c:v>2012</c:v>
                </c:pt>
                <c:pt idx="9">
                  <c:v>2014</c:v>
                </c:pt>
              </c:numCache>
            </c:numRef>
          </c:cat>
          <c:val>
            <c:numRef>
              <c:f>Экстраполяция!$F$2:$F$11</c:f>
              <c:numCache>
                <c:formatCode>General</c:formatCode>
                <c:ptCount val="10"/>
                <c:pt idx="5">
                  <c:v>8.7807823699860705</c:v>
                </c:pt>
                <c:pt idx="6">
                  <c:v>9.8329535119000067</c:v>
                </c:pt>
                <c:pt idx="7">
                  <c:v>9.8329535119000067</c:v>
                </c:pt>
                <c:pt idx="8">
                  <c:v>9.8329535119000067</c:v>
                </c:pt>
                <c:pt idx="9">
                  <c:v>9.8329535119000067</c:v>
                </c:pt>
              </c:numCache>
            </c:numRef>
          </c:val>
        </c:ser>
        <c:marker val="1"/>
        <c:axId val="122205696"/>
        <c:axId val="122207232"/>
      </c:lineChart>
      <c:catAx>
        <c:axId val="122205696"/>
        <c:scaling>
          <c:orientation val="minMax"/>
        </c:scaling>
        <c:axPos val="b"/>
        <c:numFmt formatCode="General" sourceLinked="1"/>
        <c:tickLblPos val="nextTo"/>
        <c:txPr>
          <a:bodyPr rot="-2700000"/>
          <a:lstStyle/>
          <a:p>
            <a:pPr>
              <a:defRPr/>
            </a:pPr>
            <a:endParaRPr lang="ru-RU"/>
          </a:p>
        </c:txPr>
        <c:crossAx val="122207232"/>
        <c:crosses val="autoZero"/>
        <c:auto val="1"/>
        <c:lblAlgn val="ctr"/>
        <c:lblOffset val="100"/>
        <c:tickLblSkip val="1"/>
      </c:catAx>
      <c:valAx>
        <c:axId val="122207232"/>
        <c:scaling>
          <c:orientation val="minMax"/>
          <c:min val="6"/>
        </c:scaling>
        <c:axPos val="l"/>
        <c:majorGridlines/>
        <c:numFmt formatCode="General" sourceLinked="1"/>
        <c:tickLblPos val="nextTo"/>
        <c:crossAx val="122205696"/>
        <c:crosses val="autoZero"/>
        <c:crossBetween val="midCat"/>
      </c:valAx>
      <c:spPr>
        <a:solidFill>
          <a:schemeClr val="bg1">
            <a:lumMod val="85000"/>
          </a:schemeClr>
        </a:solidFill>
      </c:spPr>
    </c:plotArea>
    <c:legend>
      <c:legendPos val="b"/>
    </c:legend>
    <c:plotVisOnly val="1"/>
    <c:dispBlanksAs val="gap"/>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1000">
          <a:latin typeface="Arial" panose="020B0604020202020204" pitchFamily="34" charset="0"/>
          <a:cs typeface="Arial" panose="020B0604020202020204" pitchFamily="34"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lineChart>
        <c:grouping val="standard"/>
        <c:ser>
          <c:idx val="1"/>
          <c:order val="0"/>
          <c:tx>
            <c:strRef>
              <c:f>Интерполяция!$E$1</c:f>
              <c:strCache>
                <c:ptCount val="1"/>
                <c:pt idx="0">
                  <c:v>Фактическая цена</c:v>
                </c:pt>
              </c:strCache>
            </c:strRef>
          </c:tx>
          <c:spPr>
            <a:ln w="12703">
              <a:solidFill>
                <a:schemeClr val="tx1"/>
              </a:solidFill>
            </a:ln>
          </c:spPr>
          <c:marker>
            <c:symbol val="none"/>
          </c:marker>
          <c:cat>
            <c:numRef>
              <c:f>Интерполяция!$D$2:$D$11</c:f>
              <c:numCache>
                <c:formatCode>General</c:formatCode>
                <c:ptCount val="10"/>
                <c:pt idx="1">
                  <c:v>2006</c:v>
                </c:pt>
                <c:pt idx="3">
                  <c:v>2008</c:v>
                </c:pt>
                <c:pt idx="5">
                  <c:v>2010</c:v>
                </c:pt>
                <c:pt idx="7">
                  <c:v>2012</c:v>
                </c:pt>
                <c:pt idx="9">
                  <c:v>2014</c:v>
                </c:pt>
              </c:numCache>
            </c:numRef>
          </c:cat>
          <c:val>
            <c:numRef>
              <c:f>Интерполяция!$E$2:$E$11</c:f>
              <c:numCache>
                <c:formatCode>General</c:formatCode>
                <c:ptCount val="10"/>
                <c:pt idx="0">
                  <c:v>9.5859638232971029</c:v>
                </c:pt>
                <c:pt idx="1">
                  <c:v>8.4440422342406727</c:v>
                </c:pt>
                <c:pt idx="2">
                  <c:v>10.447736793522516</c:v>
                </c:pt>
                <c:pt idx="3">
                  <c:v>10</c:v>
                </c:pt>
                <c:pt idx="4">
                  <c:v>17.314790437520806</c:v>
                </c:pt>
                <c:pt idx="5">
                  <c:v>15.777306460135106</c:v>
                </c:pt>
                <c:pt idx="6">
                  <c:v>16.982767339237036</c:v>
                </c:pt>
                <c:pt idx="7">
                  <c:v>12</c:v>
                </c:pt>
                <c:pt idx="8">
                  <c:v>12.485833759474973</c:v>
                </c:pt>
                <c:pt idx="9">
                  <c:v>11.450420529041288</c:v>
                </c:pt>
              </c:numCache>
            </c:numRef>
          </c:val>
        </c:ser>
        <c:ser>
          <c:idx val="0"/>
          <c:order val="1"/>
          <c:tx>
            <c:strRef>
              <c:f>Интерполяция!$F$1</c:f>
              <c:strCache>
                <c:ptCount val="1"/>
                <c:pt idx="0">
                  <c:v>Контрфактуальная цена</c:v>
                </c:pt>
              </c:strCache>
            </c:strRef>
          </c:tx>
          <c:spPr>
            <a:ln w="19054">
              <a:solidFill>
                <a:schemeClr val="tx1"/>
              </a:solidFill>
              <a:prstDash val="sysDot"/>
            </a:ln>
          </c:spPr>
          <c:marker>
            <c:symbol val="none"/>
          </c:marker>
          <c:cat>
            <c:numRef>
              <c:f>Интерполяция!$D$2:$D$11</c:f>
              <c:numCache>
                <c:formatCode>General</c:formatCode>
                <c:ptCount val="10"/>
                <c:pt idx="1">
                  <c:v>2006</c:v>
                </c:pt>
                <c:pt idx="3">
                  <c:v>2008</c:v>
                </c:pt>
                <c:pt idx="5">
                  <c:v>2010</c:v>
                </c:pt>
                <c:pt idx="7">
                  <c:v>2012</c:v>
                </c:pt>
                <c:pt idx="9">
                  <c:v>2014</c:v>
                </c:pt>
              </c:numCache>
            </c:numRef>
          </c:cat>
          <c:val>
            <c:numRef>
              <c:f>Интерполяция!$F$2:$F$11</c:f>
              <c:numCache>
                <c:formatCode>General</c:formatCode>
                <c:ptCount val="10"/>
                <c:pt idx="3">
                  <c:v>10</c:v>
                </c:pt>
                <c:pt idx="4">
                  <c:v>10.5</c:v>
                </c:pt>
                <c:pt idx="5">
                  <c:v>11</c:v>
                </c:pt>
                <c:pt idx="6">
                  <c:v>11.5</c:v>
                </c:pt>
                <c:pt idx="7">
                  <c:v>12</c:v>
                </c:pt>
              </c:numCache>
            </c:numRef>
          </c:val>
        </c:ser>
        <c:marker val="1"/>
        <c:axId val="124673024"/>
        <c:axId val="124687104"/>
      </c:lineChart>
      <c:catAx>
        <c:axId val="124673024"/>
        <c:scaling>
          <c:orientation val="minMax"/>
        </c:scaling>
        <c:axPos val="b"/>
        <c:numFmt formatCode="General" sourceLinked="1"/>
        <c:tickLblPos val="nextTo"/>
        <c:txPr>
          <a:bodyPr rot="-2700000"/>
          <a:lstStyle/>
          <a:p>
            <a:pPr>
              <a:defRPr/>
            </a:pPr>
            <a:endParaRPr lang="ru-RU"/>
          </a:p>
        </c:txPr>
        <c:crossAx val="124687104"/>
        <c:crosses val="autoZero"/>
        <c:auto val="1"/>
        <c:lblAlgn val="ctr"/>
        <c:lblOffset val="100"/>
      </c:catAx>
      <c:valAx>
        <c:axId val="124687104"/>
        <c:scaling>
          <c:orientation val="minMax"/>
          <c:min val="6"/>
        </c:scaling>
        <c:axPos val="l"/>
        <c:majorGridlines/>
        <c:numFmt formatCode="General" sourceLinked="1"/>
        <c:tickLblPos val="nextTo"/>
        <c:crossAx val="124673024"/>
        <c:crosses val="autoZero"/>
        <c:crossBetween val="midCat"/>
      </c:valAx>
      <c:spPr>
        <a:solidFill>
          <a:schemeClr val="bg1">
            <a:lumMod val="85000"/>
          </a:schemeClr>
        </a:solidFill>
      </c:spPr>
    </c:plotArea>
    <c:legend>
      <c:legendPos val="b"/>
    </c:legend>
    <c:plotVisOnly val="1"/>
    <c:dispBlanksAs val="gap"/>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1000">
          <a:latin typeface="Arial" panose="020B0604020202020204" pitchFamily="34" charset="0"/>
          <a:cs typeface="Arial" panose="020B0604020202020204" pitchFamily="34" charset="0"/>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lineChart>
        <c:grouping val="standard"/>
        <c:ser>
          <c:idx val="1"/>
          <c:order val="0"/>
          <c:tx>
            <c:strRef>
              <c:f>'Метод разностей'!$E$1</c:f>
              <c:strCache>
                <c:ptCount val="1"/>
                <c:pt idx="0">
                  <c:v>Фактическая цена в регионе А</c:v>
                </c:pt>
              </c:strCache>
            </c:strRef>
          </c:tx>
          <c:spPr>
            <a:ln w="12703">
              <a:solidFill>
                <a:schemeClr val="tx1"/>
              </a:solidFill>
            </a:ln>
          </c:spPr>
          <c:marker>
            <c:symbol val="none"/>
          </c:marker>
          <c:cat>
            <c:numRef>
              <c:f>'Метод разностей'!$D$2:$D$11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'Метод разностей'!$E$2:$E$11</c:f>
              <c:numCache>
                <c:formatCode>General</c:formatCode>
                <c:ptCount val="10"/>
                <c:pt idx="0">
                  <c:v>10.977915804613634</c:v>
                </c:pt>
                <c:pt idx="1">
                  <c:v>11.251350769979618</c:v>
                </c:pt>
                <c:pt idx="2">
                  <c:v>13.540901372882368</c:v>
                </c:pt>
                <c:pt idx="3">
                  <c:v>13.066544239771181</c:v>
                </c:pt>
                <c:pt idx="4">
                  <c:v>16.780509012841161</c:v>
                </c:pt>
                <c:pt idx="5">
                  <c:v>13.324860275430037</c:v>
                </c:pt>
                <c:pt idx="6">
                  <c:v>12.983080250356776</c:v>
                </c:pt>
                <c:pt idx="7">
                  <c:v>15.990957823758</c:v>
                </c:pt>
                <c:pt idx="8">
                  <c:v>11.751867013728567</c:v>
                </c:pt>
                <c:pt idx="9">
                  <c:v>12.41845963737917</c:v>
                </c:pt>
              </c:numCache>
            </c:numRef>
          </c:val>
        </c:ser>
        <c:ser>
          <c:idx val="0"/>
          <c:order val="1"/>
          <c:tx>
            <c:strRef>
              <c:f>'Метод разностей'!$G$1</c:f>
              <c:strCache>
                <c:ptCount val="1"/>
                <c:pt idx="0">
                  <c:v>Контрфактуальная цена в регионе А</c:v>
                </c:pt>
              </c:strCache>
            </c:strRef>
          </c:tx>
          <c:spPr>
            <a:ln w="19054">
              <a:solidFill>
                <a:schemeClr val="tx1"/>
              </a:solidFill>
              <a:prstDash val="sysDot"/>
            </a:ln>
          </c:spPr>
          <c:marker>
            <c:symbol val="none"/>
          </c:marker>
          <c:cat>
            <c:numRef>
              <c:f>'Метод разностей'!$D$2:$D$11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'Метод разностей'!$G$2:$G$11</c:f>
              <c:numCache>
                <c:formatCode>General</c:formatCode>
                <c:ptCount val="10"/>
                <c:pt idx="3">
                  <c:v>13.066544239771181</c:v>
                </c:pt>
                <c:pt idx="4">
                  <c:v>11.969204721208802</c:v>
                </c:pt>
                <c:pt idx="5">
                  <c:v>10.375487589905633</c:v>
                </c:pt>
                <c:pt idx="6">
                  <c:v>10.633198381973145</c:v>
                </c:pt>
                <c:pt idx="7">
                  <c:v>12.032078923975748</c:v>
                </c:pt>
                <c:pt idx="8">
                  <c:v>11.751867013728567</c:v>
                </c:pt>
              </c:numCache>
            </c:numRef>
          </c:val>
        </c:ser>
        <c:ser>
          <c:idx val="2"/>
          <c:order val="2"/>
          <c:tx>
            <c:strRef>
              <c:f>'Метод разностей'!$F$1</c:f>
              <c:strCache>
                <c:ptCount val="1"/>
                <c:pt idx="0">
                  <c:v>Цена на сопоставимом рынке в регионе Б</c:v>
                </c:pt>
              </c:strCache>
            </c:strRef>
          </c:tx>
          <c:spPr>
            <a:ln w="12703">
              <a:solidFill>
                <a:schemeClr val="tx1"/>
              </a:solidFill>
              <a:prstDash val="lgDash"/>
            </a:ln>
          </c:spPr>
          <c:marker>
            <c:symbol val="none"/>
          </c:marker>
          <c:cat>
            <c:numRef>
              <c:f>'Метод разностей'!$D$2:$D$11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'Метод разностей'!$F$2:$F$11</c:f>
              <c:numCache>
                <c:formatCode>General</c:formatCode>
                <c:ptCount val="10"/>
                <c:pt idx="0">
                  <c:v>8.9779158046136338</c:v>
                </c:pt>
                <c:pt idx="1">
                  <c:v>9.2513507699796182</c:v>
                </c:pt>
                <c:pt idx="2">
                  <c:v>11.540901372882368</c:v>
                </c:pt>
                <c:pt idx="3">
                  <c:v>11.066544239771181</c:v>
                </c:pt>
                <c:pt idx="4">
                  <c:v>9.9692047212088024</c:v>
                </c:pt>
                <c:pt idx="5">
                  <c:v>8.3754875899056298</c:v>
                </c:pt>
                <c:pt idx="6">
                  <c:v>8.6331983819731413</c:v>
                </c:pt>
                <c:pt idx="7">
                  <c:v>10.032078923975748</c:v>
                </c:pt>
                <c:pt idx="8">
                  <c:v>9.7518670137285675</c:v>
                </c:pt>
                <c:pt idx="9">
                  <c:v>10.41845963737917</c:v>
                </c:pt>
              </c:numCache>
            </c:numRef>
          </c:val>
        </c:ser>
        <c:marker val="1"/>
        <c:axId val="124663296"/>
        <c:axId val="124664832"/>
      </c:lineChart>
      <c:catAx>
        <c:axId val="124663296"/>
        <c:scaling>
          <c:orientation val="minMax"/>
        </c:scaling>
        <c:axPos val="b"/>
        <c:numFmt formatCode="General" sourceLinked="1"/>
        <c:tickLblPos val="nextTo"/>
        <c:crossAx val="124664832"/>
        <c:crosses val="autoZero"/>
        <c:auto val="1"/>
        <c:lblAlgn val="ctr"/>
        <c:lblOffset val="100"/>
      </c:catAx>
      <c:valAx>
        <c:axId val="124664832"/>
        <c:scaling>
          <c:orientation val="minMax"/>
          <c:min val="6"/>
        </c:scaling>
        <c:axPos val="l"/>
        <c:majorGridlines/>
        <c:numFmt formatCode="General" sourceLinked="1"/>
        <c:tickLblPos val="nextTo"/>
        <c:crossAx val="124663296"/>
        <c:crosses val="autoZero"/>
        <c:crossBetween val="midCat"/>
      </c:valAx>
      <c:spPr>
        <a:solidFill>
          <a:schemeClr val="bg1">
            <a:lumMod val="85000"/>
          </a:schemeClr>
        </a:solidFill>
      </c:spPr>
    </c:plotArea>
    <c:legend>
      <c:legendPos val="b"/>
    </c:legend>
    <c:plotVisOnly val="1"/>
    <c:dispBlanksAs val="gap"/>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1000">
          <a:latin typeface="Arial" panose="020B0604020202020204" pitchFamily="34" charset="0"/>
          <a:cs typeface="Arial" panose="020B0604020202020204" pitchFamily="34"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101344444444444"/>
          <c:y val="0.11437438271604898"/>
          <c:w val="0.84736196581196188"/>
          <c:h val="0.56158425925925859"/>
        </c:manualLayout>
      </c:layout>
      <c:lineChart>
        <c:grouping val="standard"/>
        <c:ser>
          <c:idx val="1"/>
          <c:order val="0"/>
          <c:tx>
            <c:strRef>
              <c:f>ОК2!$G$1</c:f>
              <c:strCache>
                <c:ptCount val="1"/>
                <c:pt idx="0">
                  <c:v>Фактическая доля рынка</c:v>
                </c:pt>
              </c:strCache>
            </c:strRef>
          </c:tx>
          <c:spPr>
            <a:ln w="19023">
              <a:solidFill>
                <a:schemeClr val="tx1"/>
              </a:solidFill>
            </a:ln>
          </c:spPr>
          <c:marker>
            <c:symbol val="none"/>
          </c:marker>
          <c:cat>
            <c:numRef>
              <c:f>ОК2!$F$2:$F$18</c:f>
              <c:numCache>
                <c:formatCode>General</c:formatCode>
                <c:ptCount val="17"/>
                <c:pt idx="0">
                  <c:v>2010</c:v>
                </c:pt>
                <c:pt idx="3">
                  <c:v>2011</c:v>
                </c:pt>
                <c:pt idx="6">
                  <c:v>2012</c:v>
                </c:pt>
                <c:pt idx="9">
                  <c:v>2013</c:v>
                </c:pt>
                <c:pt idx="12">
                  <c:v>2014</c:v>
                </c:pt>
              </c:numCache>
            </c:numRef>
          </c:cat>
          <c:val>
            <c:numRef>
              <c:f>ОК2!$G$2:$G$16</c:f>
              <c:numCache>
                <c:formatCode>General</c:formatCode>
                <c:ptCount val="15"/>
                <c:pt idx="0">
                  <c:v>0.2</c:v>
                </c:pt>
                <c:pt idx="1">
                  <c:v>0.2</c:v>
                </c:pt>
                <c:pt idx="2">
                  <c:v>0.2</c:v>
                </c:pt>
                <c:pt idx="3">
                  <c:v>0.2</c:v>
                </c:pt>
                <c:pt idx="4">
                  <c:v>0.12966752763128267</c:v>
                </c:pt>
                <c:pt idx="5">
                  <c:v>0.10618947951654016</c:v>
                </c:pt>
                <c:pt idx="6">
                  <c:v>9.9129284448181476E-2</c:v>
                </c:pt>
              </c:numCache>
            </c:numRef>
          </c:val>
        </c:ser>
        <c:ser>
          <c:idx val="0"/>
          <c:order val="1"/>
          <c:tx>
            <c:strRef>
              <c:f>ОК2!$H$1</c:f>
              <c:strCache>
                <c:ptCount val="1"/>
                <c:pt idx="0">
                  <c:v>Прогноз доли рынка</c:v>
                </c:pt>
              </c:strCache>
            </c:strRef>
          </c:tx>
          <c:spPr>
            <a:ln w="19023">
              <a:solidFill>
                <a:schemeClr val="tx1"/>
              </a:solidFill>
              <a:prstDash val="lgDash"/>
            </a:ln>
          </c:spPr>
          <c:marker>
            <c:symbol val="none"/>
          </c:marker>
          <c:cat>
            <c:numRef>
              <c:f>ОК2!$F$2:$F$18</c:f>
              <c:numCache>
                <c:formatCode>General</c:formatCode>
                <c:ptCount val="17"/>
                <c:pt idx="0">
                  <c:v>2010</c:v>
                </c:pt>
                <c:pt idx="3">
                  <c:v>2011</c:v>
                </c:pt>
                <c:pt idx="6">
                  <c:v>2012</c:v>
                </c:pt>
                <c:pt idx="9">
                  <c:v>2013</c:v>
                </c:pt>
                <c:pt idx="12">
                  <c:v>2014</c:v>
                </c:pt>
              </c:numCache>
            </c:numRef>
          </c:cat>
          <c:val>
            <c:numRef>
              <c:f>ОК2!$H$2:$H$16</c:f>
              <c:numCache>
                <c:formatCode>General</c:formatCode>
                <c:ptCount val="15"/>
                <c:pt idx="6">
                  <c:v>9.9129284448181476E-2</c:v>
                </c:pt>
                <c:pt idx="7">
                  <c:v>0.11428571428571453</c:v>
                </c:pt>
                <c:pt idx="8">
                  <c:v>0.12857142857142892</c:v>
                </c:pt>
                <c:pt idx="9">
                  <c:v>0.14285714285714338</c:v>
                </c:pt>
                <c:pt idx="10">
                  <c:v>0.15714285714285744</c:v>
                </c:pt>
                <c:pt idx="11">
                  <c:v>0.17142857142857137</c:v>
                </c:pt>
                <c:pt idx="12">
                  <c:v>0.18571428571428636</c:v>
                </c:pt>
                <c:pt idx="13">
                  <c:v>0.2</c:v>
                </c:pt>
                <c:pt idx="14">
                  <c:v>0.2</c:v>
                </c:pt>
              </c:numCache>
            </c:numRef>
          </c:val>
        </c:ser>
        <c:ser>
          <c:idx val="4"/>
          <c:order val="2"/>
          <c:tx>
            <c:strRef>
              <c:f>ОК2!$I$1</c:f>
              <c:strCache>
                <c:ptCount val="1"/>
                <c:pt idx="0">
                  <c:v>Контрфакт. доля рынка</c:v>
                </c:pt>
              </c:strCache>
            </c:strRef>
          </c:tx>
          <c:spPr>
            <a:ln w="19023">
              <a:solidFill>
                <a:schemeClr val="tx1"/>
              </a:solidFill>
              <a:prstDash val="sysDot"/>
            </a:ln>
          </c:spPr>
          <c:marker>
            <c:symbol val="none"/>
          </c:marker>
          <c:cat>
            <c:numRef>
              <c:f>ОК2!$F$2:$F$18</c:f>
              <c:numCache>
                <c:formatCode>General</c:formatCode>
                <c:ptCount val="17"/>
                <c:pt idx="0">
                  <c:v>2010</c:v>
                </c:pt>
                <c:pt idx="3">
                  <c:v>2011</c:v>
                </c:pt>
                <c:pt idx="6">
                  <c:v>2012</c:v>
                </c:pt>
                <c:pt idx="9">
                  <c:v>2013</c:v>
                </c:pt>
                <c:pt idx="12">
                  <c:v>2014</c:v>
                </c:pt>
              </c:numCache>
            </c:numRef>
          </c:cat>
          <c:val>
            <c:numRef>
              <c:f>ОК2!$I$2:$I$16</c:f>
              <c:numCache>
                <c:formatCode>General</c:formatCode>
                <c:ptCount val="15"/>
                <c:pt idx="3">
                  <c:v>0.2</c:v>
                </c:pt>
                <c:pt idx="4">
                  <c:v>0.2</c:v>
                </c:pt>
                <c:pt idx="5">
                  <c:v>0.2</c:v>
                </c:pt>
                <c:pt idx="6">
                  <c:v>0.2</c:v>
                </c:pt>
                <c:pt idx="7">
                  <c:v>0.2</c:v>
                </c:pt>
                <c:pt idx="8">
                  <c:v>0.2</c:v>
                </c:pt>
                <c:pt idx="9">
                  <c:v>0.2</c:v>
                </c:pt>
                <c:pt idx="10">
                  <c:v>0.2</c:v>
                </c:pt>
                <c:pt idx="11">
                  <c:v>0.2</c:v>
                </c:pt>
                <c:pt idx="12">
                  <c:v>0.2</c:v>
                </c:pt>
                <c:pt idx="13">
                  <c:v>0.2</c:v>
                </c:pt>
              </c:numCache>
            </c:numRef>
          </c:val>
        </c:ser>
        <c:marker val="1"/>
        <c:axId val="131537536"/>
        <c:axId val="133263744"/>
      </c:lineChart>
      <c:scatterChart>
        <c:scatterStyle val="lineMarker"/>
        <c:ser>
          <c:idx val="8"/>
          <c:order val="3"/>
          <c:tx>
            <c:strRef>
              <c:f>ОК2!$D$20</c:f>
              <c:strCache>
                <c:ptCount val="1"/>
                <c:pt idx="0">
                  <c:v>Начало нарушения</c:v>
                </c:pt>
              </c:strCache>
            </c:strRef>
          </c:tx>
          <c:spPr>
            <a:ln w="9511" cmpd="sng">
              <a:solidFill>
                <a:sysClr val="windowText" lastClr="000000">
                  <a:lumMod val="65000"/>
                  <a:lumOff val="35000"/>
                </a:sysClr>
              </a:solidFill>
              <a:prstDash val="dash"/>
            </a:ln>
          </c:spPr>
          <c:marker>
            <c:symbol val="none"/>
          </c:marker>
          <c:xVal>
            <c:numRef>
              <c:f>ОК2!$D$21:$D$22</c:f>
              <c:numCache>
                <c:formatCode>General</c:formatCode>
                <c:ptCount val="2"/>
                <c:pt idx="0">
                  <c:v>4</c:v>
                </c:pt>
                <c:pt idx="1">
                  <c:v>4</c:v>
                </c:pt>
              </c:numCache>
            </c:numRef>
          </c:xVal>
          <c:yVal>
            <c:numRef>
              <c:f>ОК2!$E$21:$E$22</c:f>
              <c:numCache>
                <c:formatCode>General</c:formatCode>
                <c:ptCount val="2"/>
                <c:pt idx="0">
                  <c:v>0</c:v>
                </c:pt>
                <c:pt idx="1">
                  <c:v>0.24000000000000021</c:v>
                </c:pt>
              </c:numCache>
            </c:numRef>
          </c:yVal>
        </c:ser>
        <c:ser>
          <c:idx val="9"/>
          <c:order val="4"/>
          <c:tx>
            <c:strRef>
              <c:f>ОК2!$D$24</c:f>
              <c:strCache>
                <c:ptCount val="1"/>
                <c:pt idx="0">
                  <c:v>Окончание нарушения</c:v>
                </c:pt>
              </c:strCache>
            </c:strRef>
          </c:tx>
          <c:spPr>
            <a:ln w="9511">
              <a:solidFill>
                <a:sysClr val="windowText" lastClr="000000">
                  <a:lumMod val="65000"/>
                  <a:lumOff val="35000"/>
                </a:sysClr>
              </a:solidFill>
              <a:prstDash val="dash"/>
            </a:ln>
          </c:spPr>
          <c:marker>
            <c:symbol val="none"/>
          </c:marker>
          <c:xVal>
            <c:numRef>
              <c:f>ОК2!$D$25:$D$26</c:f>
              <c:numCache>
                <c:formatCode>General</c:formatCode>
                <c:ptCount val="2"/>
                <c:pt idx="0">
                  <c:v>7</c:v>
                </c:pt>
                <c:pt idx="1">
                  <c:v>7</c:v>
                </c:pt>
              </c:numCache>
            </c:numRef>
          </c:xVal>
          <c:yVal>
            <c:numRef>
              <c:f>ОК2!$E$25:$E$26</c:f>
              <c:numCache>
                <c:formatCode>General</c:formatCode>
                <c:ptCount val="2"/>
                <c:pt idx="0">
                  <c:v>0</c:v>
                </c:pt>
                <c:pt idx="1">
                  <c:v>0.21000000000000021</c:v>
                </c:pt>
              </c:numCache>
            </c:numRef>
          </c:yVal>
        </c:ser>
        <c:axId val="133265280"/>
        <c:axId val="133266816"/>
      </c:scatterChart>
      <c:catAx>
        <c:axId val="131537536"/>
        <c:scaling>
          <c:orientation val="minMax"/>
        </c:scaling>
        <c:axPos val="b"/>
        <c:numFmt formatCode="General" sourceLinked="1"/>
        <c:tickLblPos val="nextTo"/>
        <c:crossAx val="133263744"/>
        <c:crosses val="autoZero"/>
        <c:auto val="1"/>
        <c:lblAlgn val="ctr"/>
        <c:lblOffset val="100"/>
        <c:tickMarkSkip val="3"/>
      </c:catAx>
      <c:valAx>
        <c:axId val="133263744"/>
        <c:scaling>
          <c:orientation val="minMax"/>
          <c:max val="0.27"/>
          <c:min val="0"/>
        </c:scaling>
        <c:axPos val="l"/>
        <c:majorGridlines/>
        <c:numFmt formatCode="0%" sourceLinked="0"/>
        <c:tickLblPos val="nextTo"/>
        <c:crossAx val="131537536"/>
        <c:crosses val="autoZero"/>
        <c:crossBetween val="midCat"/>
        <c:majorUnit val="0.1"/>
      </c:valAx>
      <c:valAx>
        <c:axId val="133265280"/>
        <c:scaling>
          <c:orientation val="minMax"/>
        </c:scaling>
        <c:delete val="1"/>
        <c:axPos val="t"/>
        <c:numFmt formatCode="General" sourceLinked="1"/>
        <c:tickLblPos val="none"/>
        <c:crossAx val="133266816"/>
        <c:crosses val="max"/>
        <c:crossBetween val="midCat"/>
      </c:valAx>
      <c:valAx>
        <c:axId val="133266816"/>
        <c:scaling>
          <c:orientation val="minMax"/>
        </c:scaling>
        <c:delete val="1"/>
        <c:axPos val="r"/>
        <c:numFmt formatCode="General" sourceLinked="1"/>
        <c:tickLblPos val="none"/>
        <c:crossAx val="133265280"/>
        <c:crosses val="max"/>
        <c:crossBetween val="midCat"/>
      </c:valAx>
      <c:spPr>
        <a:solidFill>
          <a:schemeClr val="bg1">
            <a:lumMod val="85000"/>
          </a:schemeClr>
        </a:solidFill>
      </c:spPr>
    </c:plotArea>
    <c:legend>
      <c:legendPos val="b"/>
      <c:legendEntry>
        <c:idx val="3"/>
        <c:delete val="1"/>
      </c:legendEntry>
      <c:legendEntry>
        <c:idx val="4"/>
        <c:delete val="1"/>
      </c:legendEntry>
    </c:legend>
    <c:plotVisOnly val="1"/>
    <c:dispBlanksAs val="gap"/>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999">
          <a:latin typeface="Arial" panose="020B0604020202020204" pitchFamily="34" charset="0"/>
          <a:cs typeface="Arial" panose="020B0604020202020204" pitchFamily="34" charset="0"/>
        </a:defRPr>
      </a:pPr>
      <a:endParaRPr lang="ru-RU"/>
    </a:p>
  </c:txPr>
  <c:externalData r:id="rId2"/>
  <c:userShapes r:id="rId3"/>
</c:chartSpace>
</file>

<file path=word/charts/chart5.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manualLayout>
          <c:layoutTarget val="inner"/>
          <c:xMode val="edge"/>
          <c:yMode val="edge"/>
          <c:x val="0.101344444444444"/>
          <c:y val="0.11437438271604898"/>
          <c:w val="0.84736196581196188"/>
          <c:h val="0.56158425925925859"/>
        </c:manualLayout>
      </c:layout>
      <c:areaChart>
        <c:grouping val="stacked"/>
        <c:ser>
          <c:idx val="6"/>
          <c:order val="3"/>
          <c:tx>
            <c:strRef>
              <c:f>ОК1!$J$1</c:f>
              <c:strCache>
                <c:ptCount val="1"/>
                <c:pt idx="0">
                  <c:v>Нижняя граница</c:v>
                </c:pt>
              </c:strCache>
            </c:strRef>
          </c:tx>
          <c:spPr>
            <a:noFill/>
            <a:ln w="0"/>
          </c:spPr>
          <c:cat>
            <c:numRef>
              <c:f>ОК1!$F$2:$F$16</c:f>
              <c:numCache>
                <c:formatCode>General</c:formatCode>
                <c:ptCount val="15"/>
                <c:pt idx="0">
                  <c:v>2010</c:v>
                </c:pt>
                <c:pt idx="3">
                  <c:v>2011</c:v>
                </c:pt>
                <c:pt idx="6">
                  <c:v>2012</c:v>
                </c:pt>
                <c:pt idx="9">
                  <c:v>2013</c:v>
                </c:pt>
                <c:pt idx="12">
                  <c:v>2014</c:v>
                </c:pt>
              </c:numCache>
            </c:numRef>
          </c:cat>
          <c:val>
            <c:numRef>
              <c:f>ОК1!$J$2:$J$16</c:f>
              <c:numCache>
                <c:formatCode>General</c:formatCode>
                <c:ptCount val="15"/>
                <c:pt idx="3">
                  <c:v>0.2</c:v>
                </c:pt>
                <c:pt idx="4">
                  <c:v>0.12966752763128267</c:v>
                </c:pt>
                <c:pt idx="5">
                  <c:v>0.10618947951654016</c:v>
                </c:pt>
                <c:pt idx="6">
                  <c:v>9.9129284448181476E-2</c:v>
                </c:pt>
                <c:pt idx="7">
                  <c:v>0.11428571428571453</c:v>
                </c:pt>
                <c:pt idx="8">
                  <c:v>0.12857142857142892</c:v>
                </c:pt>
                <c:pt idx="9">
                  <c:v>0.14285714285714338</c:v>
                </c:pt>
                <c:pt idx="10">
                  <c:v>0.15714285714285744</c:v>
                </c:pt>
                <c:pt idx="11">
                  <c:v>0.17142857142857137</c:v>
                </c:pt>
                <c:pt idx="12">
                  <c:v>0.18571428571428636</c:v>
                </c:pt>
                <c:pt idx="13">
                  <c:v>0.2</c:v>
                </c:pt>
              </c:numCache>
            </c:numRef>
          </c:val>
        </c:ser>
        <c:ser>
          <c:idx val="7"/>
          <c:order val="4"/>
          <c:tx>
            <c:strRef>
              <c:f>ОК1!$K$1</c:f>
              <c:strCache>
                <c:ptCount val="1"/>
                <c:pt idx="0">
                  <c:v>Верхняя граница</c:v>
                </c:pt>
              </c:strCache>
            </c:strRef>
          </c:tx>
          <c:spPr>
            <a:solidFill>
              <a:schemeClr val="bg1"/>
            </a:solidFill>
            <a:ln>
              <a:noFill/>
            </a:ln>
          </c:spPr>
          <c:cat>
            <c:numRef>
              <c:f>ОК1!$F$2:$F$16</c:f>
              <c:numCache>
                <c:formatCode>General</c:formatCode>
                <c:ptCount val="15"/>
                <c:pt idx="0">
                  <c:v>2010</c:v>
                </c:pt>
                <c:pt idx="3">
                  <c:v>2011</c:v>
                </c:pt>
                <c:pt idx="6">
                  <c:v>2012</c:v>
                </c:pt>
                <c:pt idx="9">
                  <c:v>2013</c:v>
                </c:pt>
                <c:pt idx="12">
                  <c:v>2014</c:v>
                </c:pt>
              </c:numCache>
            </c:numRef>
          </c:cat>
          <c:val>
            <c:numRef>
              <c:f>ОК1!$K$2:$K$16</c:f>
              <c:numCache>
                <c:formatCode>General</c:formatCode>
                <c:ptCount val="15"/>
                <c:pt idx="3">
                  <c:v>0</c:v>
                </c:pt>
                <c:pt idx="4">
                  <c:v>7.0332472368717397E-2</c:v>
                </c:pt>
                <c:pt idx="5">
                  <c:v>9.3810520483460155E-2</c:v>
                </c:pt>
                <c:pt idx="6">
                  <c:v>0.10087071555181852</c:v>
                </c:pt>
                <c:pt idx="7">
                  <c:v>8.5714285714285715E-2</c:v>
                </c:pt>
                <c:pt idx="8">
                  <c:v>7.1428571428571425E-2</c:v>
                </c:pt>
                <c:pt idx="9">
                  <c:v>5.7142857142857141E-2</c:v>
                </c:pt>
                <c:pt idx="10">
                  <c:v>4.2857142857142913E-2</c:v>
                </c:pt>
                <c:pt idx="11">
                  <c:v>2.8571428571428591E-2</c:v>
                </c:pt>
                <c:pt idx="12">
                  <c:v>1.4285714285714285E-2</c:v>
                </c:pt>
                <c:pt idx="13">
                  <c:v>0</c:v>
                </c:pt>
              </c:numCache>
            </c:numRef>
          </c:val>
        </c:ser>
        <c:axId val="133203840"/>
        <c:axId val="133205376"/>
      </c:areaChart>
      <c:lineChart>
        <c:grouping val="standard"/>
        <c:ser>
          <c:idx val="1"/>
          <c:order val="0"/>
          <c:tx>
            <c:strRef>
              <c:f>ОК1!$G$1</c:f>
              <c:strCache>
                <c:ptCount val="1"/>
                <c:pt idx="0">
                  <c:v>Фактическая прибыль</c:v>
                </c:pt>
              </c:strCache>
            </c:strRef>
          </c:tx>
          <c:spPr>
            <a:ln w="19023">
              <a:solidFill>
                <a:schemeClr val="tx1"/>
              </a:solidFill>
            </a:ln>
          </c:spPr>
          <c:marker>
            <c:symbol val="none"/>
          </c:marker>
          <c:cat>
            <c:numRef>
              <c:f>ОК1!$F$2:$F$18</c:f>
              <c:numCache>
                <c:formatCode>General</c:formatCode>
                <c:ptCount val="17"/>
                <c:pt idx="0">
                  <c:v>2010</c:v>
                </c:pt>
                <c:pt idx="3">
                  <c:v>2011</c:v>
                </c:pt>
                <c:pt idx="6">
                  <c:v>2012</c:v>
                </c:pt>
                <c:pt idx="9">
                  <c:v>2013</c:v>
                </c:pt>
                <c:pt idx="12">
                  <c:v>2014</c:v>
                </c:pt>
              </c:numCache>
            </c:numRef>
          </c:cat>
          <c:val>
            <c:numRef>
              <c:f>ОК1!$G$2:$G$16</c:f>
              <c:numCache>
                <c:formatCode>General</c:formatCode>
                <c:ptCount val="15"/>
                <c:pt idx="0">
                  <c:v>0.2</c:v>
                </c:pt>
                <c:pt idx="1">
                  <c:v>0.2</c:v>
                </c:pt>
                <c:pt idx="2">
                  <c:v>0.2</c:v>
                </c:pt>
                <c:pt idx="3">
                  <c:v>0.2</c:v>
                </c:pt>
                <c:pt idx="4">
                  <c:v>0.12966752763128267</c:v>
                </c:pt>
                <c:pt idx="5">
                  <c:v>0.10618947951654016</c:v>
                </c:pt>
                <c:pt idx="6">
                  <c:v>9.9129284448181476E-2</c:v>
                </c:pt>
              </c:numCache>
            </c:numRef>
          </c:val>
        </c:ser>
        <c:ser>
          <c:idx val="0"/>
          <c:order val="1"/>
          <c:tx>
            <c:strRef>
              <c:f>ОК1!$H$1</c:f>
              <c:strCache>
                <c:ptCount val="1"/>
                <c:pt idx="0">
                  <c:v>Прогноз прибыли</c:v>
                </c:pt>
              </c:strCache>
            </c:strRef>
          </c:tx>
          <c:spPr>
            <a:ln w="19023">
              <a:solidFill>
                <a:schemeClr val="tx1"/>
              </a:solidFill>
              <a:prstDash val="lgDash"/>
            </a:ln>
          </c:spPr>
          <c:marker>
            <c:symbol val="none"/>
          </c:marker>
          <c:cat>
            <c:numRef>
              <c:f>ОК1!$F$2:$F$18</c:f>
              <c:numCache>
                <c:formatCode>General</c:formatCode>
                <c:ptCount val="17"/>
                <c:pt idx="0">
                  <c:v>2010</c:v>
                </c:pt>
                <c:pt idx="3">
                  <c:v>2011</c:v>
                </c:pt>
                <c:pt idx="6">
                  <c:v>2012</c:v>
                </c:pt>
                <c:pt idx="9">
                  <c:v>2013</c:v>
                </c:pt>
                <c:pt idx="12">
                  <c:v>2014</c:v>
                </c:pt>
              </c:numCache>
            </c:numRef>
          </c:cat>
          <c:val>
            <c:numRef>
              <c:f>ОК1!$H$2:$H$16</c:f>
              <c:numCache>
                <c:formatCode>General</c:formatCode>
                <c:ptCount val="15"/>
                <c:pt idx="6">
                  <c:v>9.9129284448181476E-2</c:v>
                </c:pt>
                <c:pt idx="7">
                  <c:v>0.11428571428571453</c:v>
                </c:pt>
                <c:pt idx="8">
                  <c:v>0.12857142857142892</c:v>
                </c:pt>
                <c:pt idx="9">
                  <c:v>0.14285714285714338</c:v>
                </c:pt>
                <c:pt idx="10">
                  <c:v>0.15714285714285744</c:v>
                </c:pt>
                <c:pt idx="11">
                  <c:v>0.17142857142857137</c:v>
                </c:pt>
                <c:pt idx="12">
                  <c:v>0.18571428571428636</c:v>
                </c:pt>
                <c:pt idx="13">
                  <c:v>0.2</c:v>
                </c:pt>
                <c:pt idx="14">
                  <c:v>0.2</c:v>
                </c:pt>
              </c:numCache>
            </c:numRef>
          </c:val>
        </c:ser>
        <c:ser>
          <c:idx val="4"/>
          <c:order val="2"/>
          <c:tx>
            <c:strRef>
              <c:f>ОК1!$I$1</c:f>
              <c:strCache>
                <c:ptCount val="1"/>
                <c:pt idx="0">
                  <c:v>Контрфакт. прибыль</c:v>
                </c:pt>
              </c:strCache>
            </c:strRef>
          </c:tx>
          <c:spPr>
            <a:ln w="19023">
              <a:solidFill>
                <a:schemeClr val="tx1"/>
              </a:solidFill>
              <a:prstDash val="sysDot"/>
            </a:ln>
          </c:spPr>
          <c:marker>
            <c:symbol val="none"/>
          </c:marker>
          <c:cat>
            <c:numRef>
              <c:f>ОК1!$F$2:$F$18</c:f>
              <c:numCache>
                <c:formatCode>General</c:formatCode>
                <c:ptCount val="17"/>
                <c:pt idx="0">
                  <c:v>2010</c:v>
                </c:pt>
                <c:pt idx="3">
                  <c:v>2011</c:v>
                </c:pt>
                <c:pt idx="6">
                  <c:v>2012</c:v>
                </c:pt>
                <c:pt idx="9">
                  <c:v>2013</c:v>
                </c:pt>
                <c:pt idx="12">
                  <c:v>2014</c:v>
                </c:pt>
              </c:numCache>
            </c:numRef>
          </c:cat>
          <c:val>
            <c:numRef>
              <c:f>ОК1!$I$2:$I$16</c:f>
              <c:numCache>
                <c:formatCode>General</c:formatCode>
                <c:ptCount val="15"/>
                <c:pt idx="3">
                  <c:v>0.2</c:v>
                </c:pt>
                <c:pt idx="4">
                  <c:v>0.2</c:v>
                </c:pt>
                <c:pt idx="5">
                  <c:v>0.2</c:v>
                </c:pt>
                <c:pt idx="6">
                  <c:v>0.2</c:v>
                </c:pt>
                <c:pt idx="7">
                  <c:v>0.2</c:v>
                </c:pt>
                <c:pt idx="8">
                  <c:v>0.2</c:v>
                </c:pt>
                <c:pt idx="9">
                  <c:v>0.2</c:v>
                </c:pt>
                <c:pt idx="10">
                  <c:v>0.2</c:v>
                </c:pt>
                <c:pt idx="11">
                  <c:v>0.2</c:v>
                </c:pt>
                <c:pt idx="12">
                  <c:v>0.2</c:v>
                </c:pt>
                <c:pt idx="13">
                  <c:v>0.2</c:v>
                </c:pt>
              </c:numCache>
            </c:numRef>
          </c:val>
        </c:ser>
        <c:marker val="1"/>
        <c:axId val="133203840"/>
        <c:axId val="133205376"/>
      </c:lineChart>
      <c:scatterChart>
        <c:scatterStyle val="lineMarker"/>
        <c:ser>
          <c:idx val="8"/>
          <c:order val="5"/>
          <c:tx>
            <c:strRef>
              <c:f>ОК1!$D$20</c:f>
              <c:strCache>
                <c:ptCount val="1"/>
                <c:pt idx="0">
                  <c:v>Начало нарушения</c:v>
                </c:pt>
              </c:strCache>
            </c:strRef>
          </c:tx>
          <c:spPr>
            <a:ln w="9511" cmpd="sng">
              <a:solidFill>
                <a:sysClr val="windowText" lastClr="000000">
                  <a:lumMod val="65000"/>
                  <a:lumOff val="35000"/>
                </a:sysClr>
              </a:solidFill>
              <a:prstDash val="dash"/>
            </a:ln>
          </c:spPr>
          <c:marker>
            <c:symbol val="none"/>
          </c:marker>
          <c:xVal>
            <c:numRef>
              <c:f>ОК1!$D$21:$D$22</c:f>
              <c:numCache>
                <c:formatCode>General</c:formatCode>
                <c:ptCount val="2"/>
                <c:pt idx="0">
                  <c:v>4</c:v>
                </c:pt>
                <c:pt idx="1">
                  <c:v>4</c:v>
                </c:pt>
              </c:numCache>
            </c:numRef>
          </c:xVal>
          <c:yVal>
            <c:numRef>
              <c:f>ОК1!$E$21:$E$22</c:f>
              <c:numCache>
                <c:formatCode>General</c:formatCode>
                <c:ptCount val="2"/>
                <c:pt idx="0">
                  <c:v>0</c:v>
                </c:pt>
                <c:pt idx="1">
                  <c:v>0.24000000000000021</c:v>
                </c:pt>
              </c:numCache>
            </c:numRef>
          </c:yVal>
        </c:ser>
        <c:ser>
          <c:idx val="9"/>
          <c:order val="6"/>
          <c:tx>
            <c:strRef>
              <c:f>ОК1!$D$24</c:f>
              <c:strCache>
                <c:ptCount val="1"/>
                <c:pt idx="0">
                  <c:v>Окончание нарушения</c:v>
                </c:pt>
              </c:strCache>
            </c:strRef>
          </c:tx>
          <c:spPr>
            <a:ln w="9511">
              <a:solidFill>
                <a:sysClr val="windowText" lastClr="000000">
                  <a:lumMod val="65000"/>
                  <a:lumOff val="35000"/>
                </a:sysClr>
              </a:solidFill>
              <a:prstDash val="dash"/>
            </a:ln>
          </c:spPr>
          <c:marker>
            <c:symbol val="none"/>
          </c:marker>
          <c:xVal>
            <c:numRef>
              <c:f>ОК1!$D$25:$D$26</c:f>
              <c:numCache>
                <c:formatCode>General</c:formatCode>
                <c:ptCount val="2"/>
                <c:pt idx="0">
                  <c:v>7</c:v>
                </c:pt>
                <c:pt idx="1">
                  <c:v>7</c:v>
                </c:pt>
              </c:numCache>
            </c:numRef>
          </c:xVal>
          <c:yVal>
            <c:numRef>
              <c:f>ОК1!$E$25:$E$26</c:f>
              <c:numCache>
                <c:formatCode>General</c:formatCode>
                <c:ptCount val="2"/>
                <c:pt idx="0">
                  <c:v>0</c:v>
                </c:pt>
                <c:pt idx="1">
                  <c:v>0.21000000000000021</c:v>
                </c:pt>
              </c:numCache>
            </c:numRef>
          </c:yVal>
        </c:ser>
        <c:axId val="131601536"/>
        <c:axId val="131603072"/>
      </c:scatterChart>
      <c:catAx>
        <c:axId val="133203840"/>
        <c:scaling>
          <c:orientation val="minMax"/>
        </c:scaling>
        <c:axPos val="b"/>
        <c:numFmt formatCode="General" sourceLinked="1"/>
        <c:tickLblPos val="nextTo"/>
        <c:crossAx val="133205376"/>
        <c:crosses val="autoZero"/>
        <c:auto val="1"/>
        <c:lblAlgn val="ctr"/>
        <c:lblOffset val="100"/>
        <c:tickMarkSkip val="3"/>
      </c:catAx>
      <c:valAx>
        <c:axId val="133205376"/>
        <c:scaling>
          <c:orientation val="minMax"/>
          <c:max val="0.27"/>
          <c:min val="0"/>
        </c:scaling>
        <c:axPos val="l"/>
        <c:majorGridlines/>
        <c:numFmt formatCode="General" sourceLinked="1"/>
        <c:tickLblPos val="none"/>
        <c:crossAx val="133203840"/>
        <c:crosses val="autoZero"/>
        <c:crossBetween val="midCat"/>
        <c:majorUnit val="0.1"/>
      </c:valAx>
      <c:valAx>
        <c:axId val="131601536"/>
        <c:scaling>
          <c:orientation val="minMax"/>
        </c:scaling>
        <c:delete val="1"/>
        <c:axPos val="t"/>
        <c:numFmt formatCode="General" sourceLinked="1"/>
        <c:tickLblPos val="none"/>
        <c:crossAx val="131603072"/>
        <c:crosses val="max"/>
        <c:crossBetween val="midCat"/>
      </c:valAx>
      <c:valAx>
        <c:axId val="131603072"/>
        <c:scaling>
          <c:orientation val="minMax"/>
        </c:scaling>
        <c:delete val="1"/>
        <c:axPos val="r"/>
        <c:numFmt formatCode="General" sourceLinked="1"/>
        <c:tickLblPos val="none"/>
        <c:crossAx val="131601536"/>
        <c:crosses val="max"/>
        <c:crossBetween val="midCat"/>
      </c:valAx>
      <c:spPr>
        <a:solidFill>
          <a:schemeClr val="bg1">
            <a:lumMod val="85000"/>
          </a:schemeClr>
        </a:solidFill>
      </c:spPr>
    </c:plotArea>
    <c:legend>
      <c:legendPos val="b"/>
      <c:legendEntry>
        <c:idx val="0"/>
        <c:delete val="1"/>
      </c:legendEntry>
      <c:legendEntry>
        <c:idx val="1"/>
        <c:delete val="1"/>
      </c:legendEntry>
      <c:legendEntry>
        <c:idx val="5"/>
        <c:delete val="1"/>
      </c:legendEntry>
      <c:legendEntry>
        <c:idx val="6"/>
        <c:delete val="1"/>
      </c:legendEntry>
    </c:legend>
    <c:plotVisOnly val="1"/>
    <c:dispBlanksAs val="gap"/>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999">
          <a:latin typeface="Arial" panose="020B0604020202020204" pitchFamily="34" charset="0"/>
          <a:cs typeface="Arial" panose="020B0604020202020204" pitchFamily="34" charset="0"/>
        </a:defRPr>
      </a:pPr>
      <a:endParaRPr lang="ru-RU"/>
    </a:p>
  </c:txPr>
  <c:externalData r:id="rId2"/>
  <c:userShapes r:id="rId3"/>
</c:chartSpace>
</file>

<file path=word/charts/chart6.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10134444444444446"/>
          <c:y val="0.11437438271604942"/>
          <c:w val="0.8473619658119631"/>
          <c:h val="0.56158425925925926"/>
        </c:manualLayout>
      </c:layout>
      <c:lineChart>
        <c:grouping val="standard"/>
        <c:ser>
          <c:idx val="1"/>
          <c:order val="0"/>
          <c:tx>
            <c:strRef>
              <c:f>'Юристы LHS'!$G$1</c:f>
              <c:strCache>
                <c:ptCount val="1"/>
                <c:pt idx="0">
                  <c:v>Фактическое кол-во</c:v>
                </c:pt>
              </c:strCache>
            </c:strRef>
          </c:tx>
          <c:spPr>
            <a:ln w="19050">
              <a:solidFill>
                <a:schemeClr val="tx1"/>
              </a:solidFill>
            </a:ln>
          </c:spPr>
          <c:marker>
            <c:symbol val="none"/>
          </c:marker>
          <c:cat>
            <c:numRef>
              <c:f>'Юристы LHS'!$F$2:$F$18</c:f>
              <c:numCache>
                <c:formatCode>General</c:formatCode>
                <c:ptCount val="17"/>
                <c:pt idx="0">
                  <c:v>2010</c:v>
                </c:pt>
                <c:pt idx="3">
                  <c:v>2011</c:v>
                </c:pt>
                <c:pt idx="6">
                  <c:v>2012</c:v>
                </c:pt>
                <c:pt idx="9">
                  <c:v>2013</c:v>
                </c:pt>
                <c:pt idx="12">
                  <c:v>2014</c:v>
                </c:pt>
              </c:numCache>
            </c:numRef>
          </c:cat>
          <c:val>
            <c:numRef>
              <c:f>'Юристы LHS'!$G$2:$G$16</c:f>
              <c:numCache>
                <c:formatCode>General</c:formatCode>
                <c:ptCount val="15"/>
                <c:pt idx="0">
                  <c:v>100</c:v>
                </c:pt>
                <c:pt idx="1">
                  <c:v>100</c:v>
                </c:pt>
                <c:pt idx="2">
                  <c:v>100</c:v>
                </c:pt>
                <c:pt idx="3">
                  <c:v>100</c:v>
                </c:pt>
                <c:pt idx="4">
                  <c:v>64.833763815641348</c:v>
                </c:pt>
                <c:pt idx="5">
                  <c:v>53.09473975827008</c:v>
                </c:pt>
                <c:pt idx="6">
                  <c:v>49.564642224090761</c:v>
                </c:pt>
              </c:numCache>
            </c:numRef>
          </c:val>
        </c:ser>
        <c:ser>
          <c:idx val="0"/>
          <c:order val="1"/>
          <c:tx>
            <c:strRef>
              <c:f>'Юристы LHS'!$H$1</c:f>
              <c:strCache>
                <c:ptCount val="1"/>
                <c:pt idx="0">
                  <c:v>Прогноз</c:v>
                </c:pt>
              </c:strCache>
            </c:strRef>
          </c:tx>
          <c:spPr>
            <a:ln w="19050">
              <a:solidFill>
                <a:schemeClr val="tx1"/>
              </a:solidFill>
              <a:prstDash val="lgDash"/>
            </a:ln>
          </c:spPr>
          <c:marker>
            <c:symbol val="none"/>
          </c:marker>
          <c:cat>
            <c:numRef>
              <c:f>'Юристы LHS'!$F$2:$F$18</c:f>
              <c:numCache>
                <c:formatCode>General</c:formatCode>
                <c:ptCount val="17"/>
                <c:pt idx="0">
                  <c:v>2010</c:v>
                </c:pt>
                <c:pt idx="3">
                  <c:v>2011</c:v>
                </c:pt>
                <c:pt idx="6">
                  <c:v>2012</c:v>
                </c:pt>
                <c:pt idx="9">
                  <c:v>2013</c:v>
                </c:pt>
                <c:pt idx="12">
                  <c:v>2014</c:v>
                </c:pt>
              </c:numCache>
            </c:numRef>
          </c:cat>
          <c:val>
            <c:numRef>
              <c:f>'Юристы LHS'!$H$2:$H$16</c:f>
              <c:numCache>
                <c:formatCode>General</c:formatCode>
                <c:ptCount val="15"/>
                <c:pt idx="6">
                  <c:v>49.564642224090761</c:v>
                </c:pt>
                <c:pt idx="7">
                  <c:v>53.09473975827008</c:v>
                </c:pt>
                <c:pt idx="8">
                  <c:v>64.833763815641348</c:v>
                </c:pt>
                <c:pt idx="9">
                  <c:v>100</c:v>
                </c:pt>
                <c:pt idx="10">
                  <c:v>100</c:v>
                </c:pt>
                <c:pt idx="11">
                  <c:v>100</c:v>
                </c:pt>
                <c:pt idx="12">
                  <c:v>100</c:v>
                </c:pt>
                <c:pt idx="13">
                  <c:v>100</c:v>
                </c:pt>
                <c:pt idx="14">
                  <c:v>100</c:v>
                </c:pt>
              </c:numCache>
            </c:numRef>
          </c:val>
        </c:ser>
        <c:ser>
          <c:idx val="4"/>
          <c:order val="2"/>
          <c:tx>
            <c:strRef>
              <c:f>'Юристы LHS'!$I$1</c:f>
              <c:strCache>
                <c:ptCount val="1"/>
                <c:pt idx="0">
                  <c:v>Контрфакт. кол-во</c:v>
                </c:pt>
              </c:strCache>
            </c:strRef>
          </c:tx>
          <c:spPr>
            <a:ln w="19050">
              <a:solidFill>
                <a:schemeClr val="tx1"/>
              </a:solidFill>
              <a:prstDash val="sysDot"/>
            </a:ln>
          </c:spPr>
          <c:marker>
            <c:symbol val="none"/>
          </c:marker>
          <c:cat>
            <c:numRef>
              <c:f>'Юристы LHS'!$F$2:$F$18</c:f>
              <c:numCache>
                <c:formatCode>General</c:formatCode>
                <c:ptCount val="17"/>
                <c:pt idx="0">
                  <c:v>2010</c:v>
                </c:pt>
                <c:pt idx="3">
                  <c:v>2011</c:v>
                </c:pt>
                <c:pt idx="6">
                  <c:v>2012</c:v>
                </c:pt>
                <c:pt idx="9">
                  <c:v>2013</c:v>
                </c:pt>
                <c:pt idx="12">
                  <c:v>2014</c:v>
                </c:pt>
              </c:numCache>
            </c:numRef>
          </c:cat>
          <c:val>
            <c:numRef>
              <c:f>'Юристы LHS'!$I$2:$I$16</c:f>
              <c:numCache>
                <c:formatCode>General</c:formatCode>
                <c:ptCount val="15"/>
                <c:pt idx="3">
                  <c:v>100</c:v>
                </c:pt>
                <c:pt idx="4">
                  <c:v>100</c:v>
                </c:pt>
                <c:pt idx="5">
                  <c:v>100</c:v>
                </c:pt>
                <c:pt idx="6">
                  <c:v>100</c:v>
                </c:pt>
                <c:pt idx="7">
                  <c:v>100</c:v>
                </c:pt>
                <c:pt idx="8">
                  <c:v>100</c:v>
                </c:pt>
                <c:pt idx="9">
                  <c:v>100</c:v>
                </c:pt>
              </c:numCache>
            </c:numRef>
          </c:val>
        </c:ser>
        <c:marker val="1"/>
        <c:axId val="133390336"/>
        <c:axId val="133391872"/>
      </c:lineChart>
      <c:scatterChart>
        <c:scatterStyle val="lineMarker"/>
        <c:ser>
          <c:idx val="8"/>
          <c:order val="3"/>
          <c:tx>
            <c:strRef>
              <c:f>'Юристы LHS'!$D$20</c:f>
              <c:strCache>
                <c:ptCount val="1"/>
                <c:pt idx="0">
                  <c:v>Начало нарушения</c:v>
                </c:pt>
              </c:strCache>
            </c:strRef>
          </c:tx>
          <c:spPr>
            <a:ln w="9525" cmpd="sng">
              <a:solidFill>
                <a:schemeClr val="bg1">
                  <a:lumMod val="50000"/>
                </a:schemeClr>
              </a:solidFill>
              <a:prstDash val="sysDash"/>
            </a:ln>
          </c:spPr>
          <c:marker>
            <c:symbol val="none"/>
          </c:marker>
          <c:xVal>
            <c:numRef>
              <c:f>'Юристы LHS'!$D$21:$D$22</c:f>
              <c:numCache>
                <c:formatCode>General</c:formatCode>
                <c:ptCount val="2"/>
                <c:pt idx="0">
                  <c:v>4</c:v>
                </c:pt>
                <c:pt idx="1">
                  <c:v>4</c:v>
                </c:pt>
              </c:numCache>
            </c:numRef>
          </c:xVal>
          <c:yVal>
            <c:numRef>
              <c:f>'Юристы LHS'!$E$21:$E$22</c:f>
              <c:numCache>
                <c:formatCode>General</c:formatCode>
                <c:ptCount val="2"/>
                <c:pt idx="0">
                  <c:v>0</c:v>
                </c:pt>
                <c:pt idx="1">
                  <c:v>120</c:v>
                </c:pt>
              </c:numCache>
            </c:numRef>
          </c:yVal>
        </c:ser>
        <c:ser>
          <c:idx val="9"/>
          <c:order val="4"/>
          <c:tx>
            <c:strRef>
              <c:f>'Юристы LHS'!$D$24</c:f>
              <c:strCache>
                <c:ptCount val="1"/>
                <c:pt idx="0">
                  <c:v>Окончание нарушения</c:v>
                </c:pt>
              </c:strCache>
            </c:strRef>
          </c:tx>
          <c:spPr>
            <a:ln w="9525">
              <a:solidFill>
                <a:schemeClr val="bg1">
                  <a:lumMod val="50000"/>
                </a:schemeClr>
              </a:solidFill>
              <a:prstDash val="sysDash"/>
            </a:ln>
          </c:spPr>
          <c:marker>
            <c:symbol val="none"/>
          </c:marker>
          <c:xVal>
            <c:numRef>
              <c:f>'Юристы LHS'!$D$25:$D$26</c:f>
              <c:numCache>
                <c:formatCode>General</c:formatCode>
                <c:ptCount val="2"/>
                <c:pt idx="0">
                  <c:v>7</c:v>
                </c:pt>
                <c:pt idx="1">
                  <c:v>7</c:v>
                </c:pt>
              </c:numCache>
            </c:numRef>
          </c:xVal>
          <c:yVal>
            <c:numRef>
              <c:f>'Юристы LHS'!$E$25:$E$26</c:f>
              <c:numCache>
                <c:formatCode>General</c:formatCode>
                <c:ptCount val="2"/>
                <c:pt idx="0">
                  <c:v>0</c:v>
                </c:pt>
                <c:pt idx="1">
                  <c:v>105</c:v>
                </c:pt>
              </c:numCache>
            </c:numRef>
          </c:yVal>
        </c:ser>
        <c:axId val="133395200"/>
        <c:axId val="133393408"/>
      </c:scatterChart>
      <c:catAx>
        <c:axId val="133390336"/>
        <c:scaling>
          <c:orientation val="minMax"/>
        </c:scaling>
        <c:axPos val="b"/>
        <c:numFmt formatCode="General" sourceLinked="1"/>
        <c:tickLblPos val="nextTo"/>
        <c:crossAx val="133391872"/>
        <c:crosses val="autoZero"/>
        <c:auto val="1"/>
        <c:lblAlgn val="ctr"/>
        <c:lblOffset val="100"/>
        <c:tickMarkSkip val="3"/>
      </c:catAx>
      <c:valAx>
        <c:axId val="133391872"/>
        <c:scaling>
          <c:orientation val="minMax"/>
          <c:max val="130"/>
          <c:min val="0"/>
        </c:scaling>
        <c:axPos val="l"/>
        <c:majorGridlines/>
        <c:numFmt formatCode="#,##0_);\(#,##0\)" sourceLinked="0"/>
        <c:tickLblPos val="nextTo"/>
        <c:crossAx val="133390336"/>
        <c:crosses val="autoZero"/>
        <c:crossBetween val="midCat"/>
        <c:majorUnit val="20"/>
      </c:valAx>
      <c:valAx>
        <c:axId val="133393408"/>
        <c:scaling>
          <c:orientation val="minMax"/>
        </c:scaling>
        <c:delete val="1"/>
        <c:axPos val="r"/>
        <c:numFmt formatCode="General" sourceLinked="1"/>
        <c:tickLblPos val="none"/>
        <c:crossAx val="133395200"/>
        <c:crosses val="max"/>
        <c:crossBetween val="midCat"/>
      </c:valAx>
      <c:valAx>
        <c:axId val="133395200"/>
        <c:scaling>
          <c:orientation val="minMax"/>
        </c:scaling>
        <c:delete val="1"/>
        <c:axPos val="t"/>
        <c:numFmt formatCode="General" sourceLinked="1"/>
        <c:tickLblPos val="none"/>
        <c:crossAx val="133393408"/>
        <c:crosses val="max"/>
        <c:crossBetween val="midCat"/>
      </c:valAx>
      <c:spPr>
        <a:solidFill>
          <a:schemeClr val="bg1">
            <a:lumMod val="85000"/>
          </a:schemeClr>
        </a:solidFill>
      </c:spPr>
    </c:plotArea>
    <c:legend>
      <c:legendPos val="b"/>
      <c:legendEntry>
        <c:idx val="3"/>
        <c:delete val="1"/>
      </c:legendEntry>
      <c:legendEntry>
        <c:idx val="4"/>
        <c:delete val="1"/>
      </c:legendEntry>
    </c:legend>
    <c:plotVisOnly val="1"/>
    <c:dispBlanksAs val="gap"/>
  </c:chart>
  <c:spPr>
    <a:solidFill>
      <a:schemeClr val="bg1">
        <a:lumMod val="85000"/>
      </a:schemeClr>
    </a:solidFill>
    <a:ln>
      <a:solidFill>
        <a:schemeClr val="tx1"/>
      </a:solidFill>
    </a:ln>
  </c:spPr>
  <c:txPr>
    <a:bodyPr/>
    <a:lstStyle/>
    <a:p>
      <a:pPr>
        <a:defRPr sz="1000">
          <a:latin typeface="Arial" panose="020B0604020202020204" pitchFamily="34" charset="0"/>
          <a:cs typeface="Arial" panose="020B0604020202020204" pitchFamily="34" charset="0"/>
        </a:defRPr>
      </a:pPr>
      <a:endParaRPr lang="ru-RU"/>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0134444444444446"/>
          <c:y val="0.11437438271604942"/>
          <c:w val="0.8473619658119631"/>
          <c:h val="0.56158425925925926"/>
        </c:manualLayout>
      </c:layout>
      <c:areaChart>
        <c:grouping val="stacked"/>
        <c:ser>
          <c:idx val="2"/>
          <c:order val="5"/>
          <c:tx>
            <c:strRef>
              <c:f>'Юристы RHS'!$J$1</c:f>
              <c:strCache>
                <c:ptCount val="1"/>
                <c:pt idx="0">
                  <c:v>Нижняя граница</c:v>
                </c:pt>
              </c:strCache>
            </c:strRef>
          </c:tx>
          <c:spPr>
            <a:noFill/>
          </c:spPr>
          <c:val>
            <c:numRef>
              <c:f>'Юристы RHS'!$J$2:$J$16</c:f>
              <c:numCache>
                <c:formatCode>General</c:formatCode>
                <c:ptCount val="15"/>
                <c:pt idx="3">
                  <c:v>100</c:v>
                </c:pt>
                <c:pt idx="4">
                  <c:v>64.833763815641348</c:v>
                </c:pt>
                <c:pt idx="5">
                  <c:v>53.09473975827008</c:v>
                </c:pt>
                <c:pt idx="6">
                  <c:v>49.564642224090761</c:v>
                </c:pt>
                <c:pt idx="7">
                  <c:v>53.09473975827008</c:v>
                </c:pt>
                <c:pt idx="8">
                  <c:v>64.833763815641348</c:v>
                </c:pt>
                <c:pt idx="9">
                  <c:v>100</c:v>
                </c:pt>
              </c:numCache>
            </c:numRef>
          </c:val>
        </c:ser>
        <c:ser>
          <c:idx val="3"/>
          <c:order val="6"/>
          <c:tx>
            <c:strRef>
              <c:f>'Юристы RHS'!$K$1</c:f>
              <c:strCache>
                <c:ptCount val="1"/>
                <c:pt idx="0">
                  <c:v>Верхняя граница</c:v>
                </c:pt>
              </c:strCache>
            </c:strRef>
          </c:tx>
          <c:spPr>
            <a:solidFill>
              <a:schemeClr val="bg1"/>
            </a:solidFill>
          </c:spPr>
          <c:val>
            <c:numRef>
              <c:f>'Юристы RHS'!$K$2:$K$15</c:f>
              <c:numCache>
                <c:formatCode>General</c:formatCode>
                <c:ptCount val="14"/>
                <c:pt idx="3">
                  <c:v>0</c:v>
                </c:pt>
                <c:pt idx="4">
                  <c:v>35.16623618435861</c:v>
                </c:pt>
                <c:pt idx="5">
                  <c:v>46.905260241729962</c:v>
                </c:pt>
                <c:pt idx="6">
                  <c:v>50.43535777590926</c:v>
                </c:pt>
                <c:pt idx="7">
                  <c:v>46.905260241729962</c:v>
                </c:pt>
                <c:pt idx="8">
                  <c:v>35.16623618435861</c:v>
                </c:pt>
                <c:pt idx="9">
                  <c:v>0</c:v>
                </c:pt>
              </c:numCache>
            </c:numRef>
          </c:val>
        </c:ser>
        <c:axId val="133480448"/>
        <c:axId val="133478656"/>
      </c:areaChart>
      <c:lineChart>
        <c:grouping val="standard"/>
        <c:ser>
          <c:idx val="1"/>
          <c:order val="0"/>
          <c:tx>
            <c:strRef>
              <c:f>'Юристы RHS'!$G$1</c:f>
              <c:strCache>
                <c:ptCount val="1"/>
                <c:pt idx="0">
                  <c:v>Фактическая прибыль</c:v>
                </c:pt>
              </c:strCache>
            </c:strRef>
          </c:tx>
          <c:spPr>
            <a:ln w="19050">
              <a:solidFill>
                <a:schemeClr val="tx1"/>
              </a:solidFill>
            </a:ln>
          </c:spPr>
          <c:marker>
            <c:symbol val="none"/>
          </c:marker>
          <c:cat>
            <c:numRef>
              <c:f>'Юристы RHS'!$F$2:$F$18</c:f>
              <c:numCache>
                <c:formatCode>General</c:formatCode>
                <c:ptCount val="17"/>
                <c:pt idx="0">
                  <c:v>2010</c:v>
                </c:pt>
                <c:pt idx="3">
                  <c:v>2011</c:v>
                </c:pt>
                <c:pt idx="6">
                  <c:v>2012</c:v>
                </c:pt>
                <c:pt idx="9">
                  <c:v>2013</c:v>
                </c:pt>
                <c:pt idx="12">
                  <c:v>2014</c:v>
                </c:pt>
              </c:numCache>
            </c:numRef>
          </c:cat>
          <c:val>
            <c:numRef>
              <c:f>'Юристы RHS'!$G$2:$G$16</c:f>
              <c:numCache>
                <c:formatCode>General</c:formatCode>
                <c:ptCount val="15"/>
                <c:pt idx="0">
                  <c:v>100</c:v>
                </c:pt>
                <c:pt idx="1">
                  <c:v>100</c:v>
                </c:pt>
                <c:pt idx="2">
                  <c:v>100</c:v>
                </c:pt>
                <c:pt idx="3">
                  <c:v>100</c:v>
                </c:pt>
                <c:pt idx="4">
                  <c:v>64.833763815641348</c:v>
                </c:pt>
                <c:pt idx="5">
                  <c:v>53.09473975827008</c:v>
                </c:pt>
                <c:pt idx="6">
                  <c:v>49.564642224090761</c:v>
                </c:pt>
              </c:numCache>
            </c:numRef>
          </c:val>
        </c:ser>
        <c:ser>
          <c:idx val="0"/>
          <c:order val="1"/>
          <c:tx>
            <c:strRef>
              <c:f>'Юристы RHS'!$H$1</c:f>
              <c:strCache>
                <c:ptCount val="1"/>
                <c:pt idx="0">
                  <c:v>Прогноз прибыли</c:v>
                </c:pt>
              </c:strCache>
            </c:strRef>
          </c:tx>
          <c:spPr>
            <a:ln w="19050">
              <a:solidFill>
                <a:schemeClr val="tx1"/>
              </a:solidFill>
              <a:prstDash val="lgDash"/>
            </a:ln>
          </c:spPr>
          <c:marker>
            <c:symbol val="none"/>
          </c:marker>
          <c:cat>
            <c:numRef>
              <c:f>'Юристы RHS'!$F$2:$F$18</c:f>
              <c:numCache>
                <c:formatCode>General</c:formatCode>
                <c:ptCount val="17"/>
                <c:pt idx="0">
                  <c:v>2010</c:v>
                </c:pt>
                <c:pt idx="3">
                  <c:v>2011</c:v>
                </c:pt>
                <c:pt idx="6">
                  <c:v>2012</c:v>
                </c:pt>
                <c:pt idx="9">
                  <c:v>2013</c:v>
                </c:pt>
                <c:pt idx="12">
                  <c:v>2014</c:v>
                </c:pt>
              </c:numCache>
            </c:numRef>
          </c:cat>
          <c:val>
            <c:numRef>
              <c:f>'Юристы RHS'!$H$2:$H$16</c:f>
              <c:numCache>
                <c:formatCode>General</c:formatCode>
                <c:ptCount val="15"/>
                <c:pt idx="6">
                  <c:v>49.564642224090761</c:v>
                </c:pt>
                <c:pt idx="7">
                  <c:v>53.09473975827008</c:v>
                </c:pt>
                <c:pt idx="8">
                  <c:v>64.833763815641348</c:v>
                </c:pt>
                <c:pt idx="9">
                  <c:v>100</c:v>
                </c:pt>
                <c:pt idx="10">
                  <c:v>100</c:v>
                </c:pt>
                <c:pt idx="11">
                  <c:v>100</c:v>
                </c:pt>
                <c:pt idx="12">
                  <c:v>100</c:v>
                </c:pt>
                <c:pt idx="13">
                  <c:v>100</c:v>
                </c:pt>
                <c:pt idx="14">
                  <c:v>100</c:v>
                </c:pt>
              </c:numCache>
            </c:numRef>
          </c:val>
        </c:ser>
        <c:ser>
          <c:idx val="4"/>
          <c:order val="2"/>
          <c:tx>
            <c:strRef>
              <c:f>'Юристы RHS'!$I$1</c:f>
              <c:strCache>
                <c:ptCount val="1"/>
                <c:pt idx="0">
                  <c:v>Контрфакт. прибыль</c:v>
                </c:pt>
              </c:strCache>
            </c:strRef>
          </c:tx>
          <c:spPr>
            <a:ln w="19050">
              <a:solidFill>
                <a:schemeClr val="tx1"/>
              </a:solidFill>
              <a:prstDash val="sysDot"/>
            </a:ln>
          </c:spPr>
          <c:marker>
            <c:symbol val="none"/>
          </c:marker>
          <c:cat>
            <c:numRef>
              <c:f>'Юристы RHS'!$F$2:$F$18</c:f>
              <c:numCache>
                <c:formatCode>General</c:formatCode>
                <c:ptCount val="17"/>
                <c:pt idx="0">
                  <c:v>2010</c:v>
                </c:pt>
                <c:pt idx="3">
                  <c:v>2011</c:v>
                </c:pt>
                <c:pt idx="6">
                  <c:v>2012</c:v>
                </c:pt>
                <c:pt idx="9">
                  <c:v>2013</c:v>
                </c:pt>
                <c:pt idx="12">
                  <c:v>2014</c:v>
                </c:pt>
              </c:numCache>
            </c:numRef>
          </c:cat>
          <c:val>
            <c:numRef>
              <c:f>'Юристы RHS'!$I$2:$I$16</c:f>
              <c:numCache>
                <c:formatCode>General</c:formatCode>
                <c:ptCount val="15"/>
                <c:pt idx="3">
                  <c:v>100</c:v>
                </c:pt>
                <c:pt idx="4">
                  <c:v>100</c:v>
                </c:pt>
                <c:pt idx="5">
                  <c:v>100</c:v>
                </c:pt>
                <c:pt idx="6">
                  <c:v>100</c:v>
                </c:pt>
                <c:pt idx="7">
                  <c:v>100</c:v>
                </c:pt>
                <c:pt idx="8">
                  <c:v>100</c:v>
                </c:pt>
                <c:pt idx="9">
                  <c:v>100</c:v>
                </c:pt>
              </c:numCache>
            </c:numRef>
          </c:val>
        </c:ser>
        <c:marker val="1"/>
        <c:axId val="133475328"/>
        <c:axId val="133477120"/>
      </c:lineChart>
      <c:scatterChart>
        <c:scatterStyle val="lineMarker"/>
        <c:ser>
          <c:idx val="8"/>
          <c:order val="3"/>
          <c:tx>
            <c:strRef>
              <c:f>'Юристы RHS'!$D$20</c:f>
              <c:strCache>
                <c:ptCount val="1"/>
                <c:pt idx="0">
                  <c:v>Начало нарушения</c:v>
                </c:pt>
              </c:strCache>
            </c:strRef>
          </c:tx>
          <c:spPr>
            <a:ln w="9525" cmpd="sng">
              <a:solidFill>
                <a:schemeClr val="bg1">
                  <a:lumMod val="50000"/>
                </a:schemeClr>
              </a:solidFill>
              <a:prstDash val="sysDash"/>
            </a:ln>
          </c:spPr>
          <c:marker>
            <c:symbol val="none"/>
          </c:marker>
          <c:xVal>
            <c:numRef>
              <c:f>'Юристы RHS'!$D$21:$D$22</c:f>
              <c:numCache>
                <c:formatCode>General</c:formatCode>
                <c:ptCount val="2"/>
                <c:pt idx="0">
                  <c:v>4</c:v>
                </c:pt>
                <c:pt idx="1">
                  <c:v>4</c:v>
                </c:pt>
              </c:numCache>
            </c:numRef>
          </c:xVal>
          <c:yVal>
            <c:numRef>
              <c:f>'Юристы RHS'!$E$21:$E$22</c:f>
              <c:numCache>
                <c:formatCode>General</c:formatCode>
                <c:ptCount val="2"/>
                <c:pt idx="0">
                  <c:v>0</c:v>
                </c:pt>
                <c:pt idx="1">
                  <c:v>120</c:v>
                </c:pt>
              </c:numCache>
            </c:numRef>
          </c:yVal>
        </c:ser>
        <c:ser>
          <c:idx val="9"/>
          <c:order val="4"/>
          <c:tx>
            <c:strRef>
              <c:f>'Юристы RHS'!$D$24</c:f>
              <c:strCache>
                <c:ptCount val="1"/>
                <c:pt idx="0">
                  <c:v>Окончание нарушения</c:v>
                </c:pt>
              </c:strCache>
            </c:strRef>
          </c:tx>
          <c:spPr>
            <a:ln w="9525">
              <a:solidFill>
                <a:schemeClr val="bg1">
                  <a:lumMod val="50000"/>
                </a:schemeClr>
              </a:solidFill>
              <a:prstDash val="sysDash"/>
            </a:ln>
          </c:spPr>
          <c:marker>
            <c:symbol val="none"/>
          </c:marker>
          <c:xVal>
            <c:numRef>
              <c:f>'Юристы RHS'!$D$25:$D$26</c:f>
              <c:numCache>
                <c:formatCode>General</c:formatCode>
                <c:ptCount val="2"/>
                <c:pt idx="0">
                  <c:v>7</c:v>
                </c:pt>
                <c:pt idx="1">
                  <c:v>7</c:v>
                </c:pt>
              </c:numCache>
            </c:numRef>
          </c:xVal>
          <c:yVal>
            <c:numRef>
              <c:f>'Юристы RHS'!$E$25:$E$26</c:f>
              <c:numCache>
                <c:formatCode>General</c:formatCode>
                <c:ptCount val="2"/>
                <c:pt idx="0">
                  <c:v>0</c:v>
                </c:pt>
                <c:pt idx="1">
                  <c:v>105</c:v>
                </c:pt>
              </c:numCache>
            </c:numRef>
          </c:yVal>
        </c:ser>
        <c:axId val="133480448"/>
        <c:axId val="133478656"/>
      </c:scatterChart>
      <c:catAx>
        <c:axId val="133475328"/>
        <c:scaling>
          <c:orientation val="minMax"/>
        </c:scaling>
        <c:axPos val="b"/>
        <c:numFmt formatCode="General" sourceLinked="1"/>
        <c:tickLblPos val="nextTo"/>
        <c:crossAx val="133477120"/>
        <c:crosses val="autoZero"/>
        <c:auto val="1"/>
        <c:lblAlgn val="ctr"/>
        <c:lblOffset val="100"/>
        <c:tickMarkSkip val="3"/>
      </c:catAx>
      <c:valAx>
        <c:axId val="133477120"/>
        <c:scaling>
          <c:orientation val="minMax"/>
          <c:max val="130"/>
          <c:min val="0"/>
        </c:scaling>
        <c:axPos val="l"/>
        <c:majorGridlines/>
        <c:numFmt formatCode="#,##0_);\(#,##0\)" sourceLinked="0"/>
        <c:tickLblPos val="nextTo"/>
        <c:crossAx val="133475328"/>
        <c:crosses val="autoZero"/>
        <c:crossBetween val="between"/>
        <c:majorUnit val="20"/>
      </c:valAx>
      <c:valAx>
        <c:axId val="133478656"/>
        <c:scaling>
          <c:orientation val="minMax"/>
        </c:scaling>
        <c:delete val="1"/>
        <c:axPos val="r"/>
        <c:numFmt formatCode="General" sourceLinked="1"/>
        <c:tickLblPos val="none"/>
        <c:crossAx val="133480448"/>
        <c:crosses val="max"/>
        <c:crossBetween val="between"/>
      </c:valAx>
      <c:catAx>
        <c:axId val="133480448"/>
        <c:scaling>
          <c:orientation val="minMax"/>
        </c:scaling>
        <c:delete val="1"/>
        <c:axPos val="t"/>
        <c:numFmt formatCode="General" sourceLinked="1"/>
        <c:tickLblPos val="none"/>
        <c:crossAx val="133478656"/>
        <c:crosses val="max"/>
        <c:auto val="1"/>
        <c:lblAlgn val="ctr"/>
        <c:lblOffset val="100"/>
      </c:catAx>
      <c:spPr>
        <a:solidFill>
          <a:schemeClr val="bg1">
            <a:lumMod val="85000"/>
          </a:schemeClr>
        </a:solidFill>
      </c:spPr>
    </c:plotArea>
    <c:legend>
      <c:legendPos val="b"/>
      <c:legendEntry>
        <c:idx val="0"/>
        <c:delete val="1"/>
      </c:legendEntry>
      <c:legendEntry>
        <c:idx val="1"/>
        <c:delete val="1"/>
      </c:legendEntry>
      <c:legendEntry>
        <c:idx val="5"/>
        <c:delete val="1"/>
      </c:legendEntry>
      <c:legendEntry>
        <c:idx val="6"/>
        <c:delete val="1"/>
      </c:legendEntry>
    </c:legend>
    <c:plotVisOnly val="1"/>
    <c:dispBlanksAs val="gap"/>
  </c:chart>
  <c:spPr>
    <a:solidFill>
      <a:schemeClr val="bg1">
        <a:lumMod val="85000"/>
      </a:schemeClr>
    </a:solidFill>
    <a:ln>
      <a:solidFill>
        <a:schemeClr val="tx1"/>
      </a:solidFill>
    </a:ln>
  </c:spPr>
  <c:txPr>
    <a:bodyPr/>
    <a:lstStyle/>
    <a:p>
      <a:pPr>
        <a:defRPr sz="1000">
          <a:latin typeface="Arial" panose="020B0604020202020204" pitchFamily="34" charset="0"/>
          <a:cs typeface="Arial" panose="020B0604020202020204" pitchFamily="34" charset="0"/>
        </a:defRPr>
      </a:pPr>
      <a:endParaRPr lang="ru-RU"/>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10134444444444446"/>
          <c:y val="0.11437438271604942"/>
          <c:w val="0.8473619658119631"/>
          <c:h val="0.56158425925925926"/>
        </c:manualLayout>
      </c:layout>
      <c:lineChart>
        <c:grouping val="standard"/>
        <c:ser>
          <c:idx val="1"/>
          <c:order val="0"/>
          <c:tx>
            <c:strRef>
              <c:f>'Юристы 2 LHS'!$G$1</c:f>
              <c:strCache>
                <c:ptCount val="1"/>
                <c:pt idx="0">
                  <c:v>Фактическая доля рынка</c:v>
                </c:pt>
              </c:strCache>
            </c:strRef>
          </c:tx>
          <c:spPr>
            <a:ln w="19050">
              <a:solidFill>
                <a:schemeClr val="tx1"/>
              </a:solidFill>
            </a:ln>
          </c:spPr>
          <c:marker>
            <c:symbol val="none"/>
          </c:marker>
          <c:cat>
            <c:numRef>
              <c:f>'Юристы 2 LHS'!$F$2:$F$18</c:f>
              <c:numCache>
                <c:formatCode>General</c:formatCode>
                <c:ptCount val="17"/>
                <c:pt idx="0">
                  <c:v>2010</c:v>
                </c:pt>
                <c:pt idx="3">
                  <c:v>2011</c:v>
                </c:pt>
                <c:pt idx="6">
                  <c:v>2012</c:v>
                </c:pt>
                <c:pt idx="9">
                  <c:v>2013</c:v>
                </c:pt>
                <c:pt idx="12">
                  <c:v>2014</c:v>
                </c:pt>
              </c:numCache>
            </c:numRef>
          </c:cat>
          <c:val>
            <c:numRef>
              <c:f>'Юристы 2 LHS'!$G$2:$G$13</c:f>
              <c:numCache>
                <c:formatCode>General</c:formatCode>
                <c:ptCount val="12"/>
                <c:pt idx="0">
                  <c:v>0.4</c:v>
                </c:pt>
                <c:pt idx="1">
                  <c:v>0.4</c:v>
                </c:pt>
                <c:pt idx="2">
                  <c:v>0.4</c:v>
                </c:pt>
                <c:pt idx="3">
                  <c:v>0.4</c:v>
                </c:pt>
                <c:pt idx="4">
                  <c:v>0</c:v>
                </c:pt>
                <c:pt idx="5">
                  <c:v>0</c:v>
                </c:pt>
                <c:pt idx="6">
                  <c:v>0.4</c:v>
                </c:pt>
                <c:pt idx="7">
                  <c:v>0.4</c:v>
                </c:pt>
                <c:pt idx="8">
                  <c:v>0.4</c:v>
                </c:pt>
                <c:pt idx="9">
                  <c:v>0.4</c:v>
                </c:pt>
                <c:pt idx="10">
                  <c:v>0.4</c:v>
                </c:pt>
                <c:pt idx="11">
                  <c:v>0.4</c:v>
                </c:pt>
              </c:numCache>
            </c:numRef>
          </c:val>
        </c:ser>
        <c:ser>
          <c:idx val="4"/>
          <c:order val="1"/>
          <c:tx>
            <c:strRef>
              <c:f>'Юристы 2 LHS'!$I$1</c:f>
              <c:strCache>
                <c:ptCount val="1"/>
                <c:pt idx="0">
                  <c:v>Контрфакт. доля рынка</c:v>
                </c:pt>
              </c:strCache>
            </c:strRef>
          </c:tx>
          <c:spPr>
            <a:ln w="19050">
              <a:solidFill>
                <a:schemeClr val="tx1"/>
              </a:solidFill>
              <a:prstDash val="sysDot"/>
            </a:ln>
          </c:spPr>
          <c:marker>
            <c:symbol val="none"/>
          </c:marker>
          <c:cat>
            <c:numRef>
              <c:f>'Юристы 2 LHS'!$F$2:$F$18</c:f>
              <c:numCache>
                <c:formatCode>General</c:formatCode>
                <c:ptCount val="17"/>
                <c:pt idx="0">
                  <c:v>2010</c:v>
                </c:pt>
                <c:pt idx="3">
                  <c:v>2011</c:v>
                </c:pt>
                <c:pt idx="6">
                  <c:v>2012</c:v>
                </c:pt>
                <c:pt idx="9">
                  <c:v>2013</c:v>
                </c:pt>
                <c:pt idx="12">
                  <c:v>2014</c:v>
                </c:pt>
              </c:numCache>
            </c:numRef>
          </c:cat>
          <c:val>
            <c:numRef>
              <c:f>'Юристы 2 LHS'!$I$2:$I$13</c:f>
              <c:numCache>
                <c:formatCode>General</c:formatCode>
                <c:ptCount val="12"/>
                <c:pt idx="3">
                  <c:v>0.4</c:v>
                </c:pt>
                <c:pt idx="4">
                  <c:v>0.4</c:v>
                </c:pt>
                <c:pt idx="5">
                  <c:v>0.4</c:v>
                </c:pt>
                <c:pt idx="6">
                  <c:v>0.4</c:v>
                </c:pt>
                <c:pt idx="7">
                  <c:v>0.4</c:v>
                </c:pt>
                <c:pt idx="8">
                  <c:v>0.4</c:v>
                </c:pt>
                <c:pt idx="9">
                  <c:v>0.4</c:v>
                </c:pt>
              </c:numCache>
            </c:numRef>
          </c:val>
        </c:ser>
        <c:marker val="1"/>
        <c:axId val="133534080"/>
        <c:axId val="133535616"/>
      </c:lineChart>
      <c:scatterChart>
        <c:scatterStyle val="lineMarker"/>
        <c:ser>
          <c:idx val="8"/>
          <c:order val="2"/>
          <c:tx>
            <c:strRef>
              <c:f>'Юристы 2 LHS'!$D$20</c:f>
              <c:strCache>
                <c:ptCount val="1"/>
                <c:pt idx="0">
                  <c:v>Начало нарушения</c:v>
                </c:pt>
              </c:strCache>
            </c:strRef>
          </c:tx>
          <c:spPr>
            <a:ln w="9525" cmpd="sng">
              <a:solidFill>
                <a:schemeClr val="bg1">
                  <a:lumMod val="50000"/>
                </a:schemeClr>
              </a:solidFill>
              <a:prstDash val="sysDash"/>
            </a:ln>
          </c:spPr>
          <c:marker>
            <c:symbol val="none"/>
          </c:marker>
          <c:xVal>
            <c:numRef>
              <c:f>'Юристы 2 LHS'!$D$21:$D$22</c:f>
              <c:numCache>
                <c:formatCode>General</c:formatCode>
                <c:ptCount val="2"/>
                <c:pt idx="0">
                  <c:v>4</c:v>
                </c:pt>
                <c:pt idx="1">
                  <c:v>4</c:v>
                </c:pt>
              </c:numCache>
            </c:numRef>
          </c:xVal>
          <c:yVal>
            <c:numRef>
              <c:f>'Юристы 2 LHS'!$E$21:$E$22</c:f>
              <c:numCache>
                <c:formatCode>General</c:formatCode>
                <c:ptCount val="2"/>
                <c:pt idx="0">
                  <c:v>0</c:v>
                </c:pt>
                <c:pt idx="1">
                  <c:v>0.5</c:v>
                </c:pt>
              </c:numCache>
            </c:numRef>
          </c:yVal>
        </c:ser>
        <c:ser>
          <c:idx val="9"/>
          <c:order val="3"/>
          <c:tx>
            <c:strRef>
              <c:f>'Юристы 2 LHS'!$D$24</c:f>
              <c:strCache>
                <c:ptCount val="1"/>
                <c:pt idx="0">
                  <c:v>Окончание нарушения</c:v>
                </c:pt>
              </c:strCache>
            </c:strRef>
          </c:tx>
          <c:spPr>
            <a:ln w="9525">
              <a:solidFill>
                <a:schemeClr val="bg1">
                  <a:lumMod val="50000"/>
                </a:schemeClr>
              </a:solidFill>
              <a:prstDash val="sysDash"/>
            </a:ln>
          </c:spPr>
          <c:marker>
            <c:symbol val="none"/>
          </c:marker>
          <c:xVal>
            <c:numRef>
              <c:f>'Юристы 2 LHS'!$D$25:$D$26</c:f>
              <c:numCache>
                <c:formatCode>General</c:formatCode>
                <c:ptCount val="2"/>
                <c:pt idx="0">
                  <c:v>7</c:v>
                </c:pt>
                <c:pt idx="1">
                  <c:v>7</c:v>
                </c:pt>
              </c:numCache>
            </c:numRef>
          </c:xVal>
          <c:yVal>
            <c:numRef>
              <c:f>'Юристы 2 LHS'!$E$25:$E$26</c:f>
              <c:numCache>
                <c:formatCode>General</c:formatCode>
                <c:ptCount val="2"/>
                <c:pt idx="0">
                  <c:v>0</c:v>
                </c:pt>
                <c:pt idx="1">
                  <c:v>0.44</c:v>
                </c:pt>
              </c:numCache>
            </c:numRef>
          </c:yVal>
        </c:ser>
        <c:axId val="133543040"/>
        <c:axId val="133537152"/>
      </c:scatterChart>
      <c:catAx>
        <c:axId val="133534080"/>
        <c:scaling>
          <c:orientation val="minMax"/>
        </c:scaling>
        <c:axPos val="b"/>
        <c:numFmt formatCode="General" sourceLinked="1"/>
        <c:tickLblPos val="nextTo"/>
        <c:crossAx val="133535616"/>
        <c:crosses val="autoZero"/>
        <c:auto val="1"/>
        <c:lblAlgn val="ctr"/>
        <c:lblOffset val="100"/>
        <c:tickMarkSkip val="3"/>
      </c:catAx>
      <c:valAx>
        <c:axId val="133535616"/>
        <c:scaling>
          <c:orientation val="minMax"/>
          <c:max val="0.55000000000000004"/>
          <c:min val="0"/>
        </c:scaling>
        <c:axPos val="l"/>
        <c:majorGridlines/>
        <c:numFmt formatCode="0%" sourceLinked="0"/>
        <c:tickLblPos val="nextTo"/>
        <c:crossAx val="133534080"/>
        <c:crosses val="autoZero"/>
        <c:crossBetween val="midCat"/>
        <c:majorUnit val="0.2"/>
      </c:valAx>
      <c:valAx>
        <c:axId val="133537152"/>
        <c:scaling>
          <c:orientation val="minMax"/>
        </c:scaling>
        <c:delete val="1"/>
        <c:axPos val="r"/>
        <c:numFmt formatCode="General" sourceLinked="1"/>
        <c:tickLblPos val="none"/>
        <c:crossAx val="133543040"/>
        <c:crosses val="max"/>
        <c:crossBetween val="midCat"/>
      </c:valAx>
      <c:valAx>
        <c:axId val="133543040"/>
        <c:scaling>
          <c:orientation val="minMax"/>
        </c:scaling>
        <c:delete val="1"/>
        <c:axPos val="t"/>
        <c:numFmt formatCode="General" sourceLinked="1"/>
        <c:tickLblPos val="none"/>
        <c:crossAx val="133537152"/>
        <c:crosses val="max"/>
        <c:crossBetween val="midCat"/>
      </c:valAx>
      <c:spPr>
        <a:solidFill>
          <a:schemeClr val="bg1">
            <a:lumMod val="85000"/>
          </a:schemeClr>
        </a:solidFill>
      </c:spPr>
    </c:plotArea>
    <c:legend>
      <c:legendPos val="b"/>
      <c:legendEntry>
        <c:idx val="2"/>
        <c:delete val="1"/>
      </c:legendEntry>
      <c:legendEntry>
        <c:idx val="3"/>
        <c:delete val="1"/>
      </c:legendEntry>
    </c:legend>
    <c:plotVisOnly val="1"/>
    <c:dispBlanksAs val="gap"/>
  </c:chart>
  <c:spPr>
    <a:solidFill>
      <a:schemeClr val="bg1">
        <a:lumMod val="85000"/>
      </a:schemeClr>
    </a:solidFill>
    <a:ln>
      <a:solidFill>
        <a:schemeClr val="tx1"/>
      </a:solidFill>
    </a:ln>
  </c:spPr>
  <c:txPr>
    <a:bodyPr/>
    <a:lstStyle/>
    <a:p>
      <a:pPr>
        <a:defRPr sz="1000">
          <a:latin typeface="Arial" panose="020B0604020202020204" pitchFamily="34" charset="0"/>
          <a:cs typeface="Arial" panose="020B0604020202020204" pitchFamily="34" charset="0"/>
        </a:defRPr>
      </a:pPr>
      <a:endParaRPr lang="ru-RU"/>
    </a:p>
  </c:tx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10134444444444446"/>
          <c:y val="0.11437438271604942"/>
          <c:w val="0.8473619658119631"/>
          <c:h val="0.56158425925925926"/>
        </c:manualLayout>
      </c:layout>
      <c:areaChart>
        <c:grouping val="stacked"/>
        <c:ser>
          <c:idx val="2"/>
          <c:order val="4"/>
          <c:tx>
            <c:strRef>
              <c:f>'Юристы 2 RHS'!$J$1</c:f>
              <c:strCache>
                <c:ptCount val="1"/>
                <c:pt idx="0">
                  <c:v>Нижняя граница</c:v>
                </c:pt>
              </c:strCache>
            </c:strRef>
          </c:tx>
          <c:spPr>
            <a:noFill/>
          </c:spPr>
          <c:val>
            <c:numRef>
              <c:f>'Юристы 2 RHS'!$J$2:$J$13</c:f>
              <c:numCache>
                <c:formatCode>General</c:formatCode>
                <c:ptCount val="12"/>
                <c:pt idx="3">
                  <c:v>100</c:v>
                </c:pt>
                <c:pt idx="4">
                  <c:v>0</c:v>
                </c:pt>
                <c:pt idx="5">
                  <c:v>0</c:v>
                </c:pt>
                <c:pt idx="6">
                  <c:v>100</c:v>
                </c:pt>
              </c:numCache>
            </c:numRef>
          </c:val>
        </c:ser>
        <c:ser>
          <c:idx val="3"/>
          <c:order val="5"/>
          <c:tx>
            <c:strRef>
              <c:f>'Юристы 2 RHS'!$K$1</c:f>
              <c:strCache>
                <c:ptCount val="1"/>
                <c:pt idx="0">
                  <c:v>Верхняя граница</c:v>
                </c:pt>
              </c:strCache>
            </c:strRef>
          </c:tx>
          <c:spPr>
            <a:solidFill>
              <a:schemeClr val="bg1"/>
            </a:solidFill>
          </c:spPr>
          <c:val>
            <c:numRef>
              <c:f>'Юристы 2 RHS'!$K$2:$K$13</c:f>
              <c:numCache>
                <c:formatCode>General</c:formatCode>
                <c:ptCount val="12"/>
                <c:pt idx="3">
                  <c:v>0</c:v>
                </c:pt>
                <c:pt idx="4">
                  <c:v>100</c:v>
                </c:pt>
                <c:pt idx="5">
                  <c:v>100</c:v>
                </c:pt>
                <c:pt idx="6">
                  <c:v>0</c:v>
                </c:pt>
              </c:numCache>
            </c:numRef>
          </c:val>
        </c:ser>
        <c:axId val="133692800"/>
        <c:axId val="133691264"/>
      </c:areaChart>
      <c:lineChart>
        <c:grouping val="standard"/>
        <c:ser>
          <c:idx val="1"/>
          <c:order val="0"/>
          <c:tx>
            <c:strRef>
              <c:f>'Юристы 2 RHS'!$G$1</c:f>
              <c:strCache>
                <c:ptCount val="1"/>
                <c:pt idx="0">
                  <c:v>Фактическая прибыль</c:v>
                </c:pt>
              </c:strCache>
            </c:strRef>
          </c:tx>
          <c:spPr>
            <a:ln w="19050">
              <a:solidFill>
                <a:schemeClr val="tx1"/>
              </a:solidFill>
            </a:ln>
          </c:spPr>
          <c:marker>
            <c:symbol val="none"/>
          </c:marker>
          <c:cat>
            <c:numRef>
              <c:f>'Юристы 2 RHS'!$F$2:$F$18</c:f>
              <c:numCache>
                <c:formatCode>General</c:formatCode>
                <c:ptCount val="17"/>
                <c:pt idx="0">
                  <c:v>2010</c:v>
                </c:pt>
                <c:pt idx="3">
                  <c:v>2011</c:v>
                </c:pt>
                <c:pt idx="6">
                  <c:v>2012</c:v>
                </c:pt>
                <c:pt idx="9">
                  <c:v>2013</c:v>
                </c:pt>
                <c:pt idx="12">
                  <c:v>2014</c:v>
                </c:pt>
              </c:numCache>
            </c:numRef>
          </c:cat>
          <c:val>
            <c:numRef>
              <c:f>'Юристы 2 RHS'!$G$2:$G$13</c:f>
              <c:numCache>
                <c:formatCode>General</c:formatCode>
                <c:ptCount val="12"/>
                <c:pt idx="0">
                  <c:v>100</c:v>
                </c:pt>
                <c:pt idx="1">
                  <c:v>100</c:v>
                </c:pt>
                <c:pt idx="2">
                  <c:v>100</c:v>
                </c:pt>
                <c:pt idx="3">
                  <c:v>100</c:v>
                </c:pt>
                <c:pt idx="4">
                  <c:v>0</c:v>
                </c:pt>
                <c:pt idx="5">
                  <c:v>0</c:v>
                </c:pt>
                <c:pt idx="6">
                  <c:v>100</c:v>
                </c:pt>
                <c:pt idx="7">
                  <c:v>100</c:v>
                </c:pt>
                <c:pt idx="8">
                  <c:v>100</c:v>
                </c:pt>
                <c:pt idx="9">
                  <c:v>100</c:v>
                </c:pt>
                <c:pt idx="10">
                  <c:v>100</c:v>
                </c:pt>
                <c:pt idx="11">
                  <c:v>100</c:v>
                </c:pt>
              </c:numCache>
            </c:numRef>
          </c:val>
        </c:ser>
        <c:ser>
          <c:idx val="4"/>
          <c:order val="1"/>
          <c:tx>
            <c:strRef>
              <c:f>'Юристы 2 RHS'!$I$1</c:f>
              <c:strCache>
                <c:ptCount val="1"/>
                <c:pt idx="0">
                  <c:v>Контрфакт. прибыль</c:v>
                </c:pt>
              </c:strCache>
            </c:strRef>
          </c:tx>
          <c:spPr>
            <a:ln w="19050">
              <a:solidFill>
                <a:schemeClr val="tx1"/>
              </a:solidFill>
              <a:prstDash val="sysDot"/>
            </a:ln>
          </c:spPr>
          <c:marker>
            <c:symbol val="none"/>
          </c:marker>
          <c:cat>
            <c:numRef>
              <c:f>'Юристы 2 RHS'!$F$2:$F$18</c:f>
              <c:numCache>
                <c:formatCode>General</c:formatCode>
                <c:ptCount val="17"/>
                <c:pt idx="0">
                  <c:v>2010</c:v>
                </c:pt>
                <c:pt idx="3">
                  <c:v>2011</c:v>
                </c:pt>
                <c:pt idx="6">
                  <c:v>2012</c:v>
                </c:pt>
                <c:pt idx="9">
                  <c:v>2013</c:v>
                </c:pt>
                <c:pt idx="12">
                  <c:v>2014</c:v>
                </c:pt>
              </c:numCache>
            </c:numRef>
          </c:cat>
          <c:val>
            <c:numRef>
              <c:f>'Юристы 2 RHS'!$I$2:$I$13</c:f>
              <c:numCache>
                <c:formatCode>General</c:formatCode>
                <c:ptCount val="12"/>
                <c:pt idx="3">
                  <c:v>100</c:v>
                </c:pt>
                <c:pt idx="4">
                  <c:v>100</c:v>
                </c:pt>
                <c:pt idx="5">
                  <c:v>100</c:v>
                </c:pt>
                <c:pt idx="6">
                  <c:v>100</c:v>
                </c:pt>
              </c:numCache>
            </c:numRef>
          </c:val>
        </c:ser>
        <c:marker val="1"/>
        <c:axId val="133671552"/>
        <c:axId val="133689728"/>
      </c:lineChart>
      <c:scatterChart>
        <c:scatterStyle val="lineMarker"/>
        <c:ser>
          <c:idx val="8"/>
          <c:order val="2"/>
          <c:tx>
            <c:strRef>
              <c:f>'Юристы 2 RHS'!$D$20</c:f>
              <c:strCache>
                <c:ptCount val="1"/>
                <c:pt idx="0">
                  <c:v>Начало нарушения</c:v>
                </c:pt>
              </c:strCache>
            </c:strRef>
          </c:tx>
          <c:spPr>
            <a:ln w="9525" cmpd="sng">
              <a:solidFill>
                <a:schemeClr val="bg1">
                  <a:lumMod val="50000"/>
                </a:schemeClr>
              </a:solidFill>
              <a:prstDash val="sysDash"/>
            </a:ln>
          </c:spPr>
          <c:marker>
            <c:symbol val="none"/>
          </c:marker>
          <c:xVal>
            <c:numRef>
              <c:f>'Юристы 2 RHS'!$D$21:$D$22</c:f>
              <c:numCache>
                <c:formatCode>General</c:formatCode>
                <c:ptCount val="2"/>
                <c:pt idx="0">
                  <c:v>4</c:v>
                </c:pt>
                <c:pt idx="1">
                  <c:v>4</c:v>
                </c:pt>
              </c:numCache>
            </c:numRef>
          </c:xVal>
          <c:yVal>
            <c:numRef>
              <c:f>'Юристы 2 RHS'!$E$21:$E$22</c:f>
              <c:numCache>
                <c:formatCode>General</c:formatCode>
                <c:ptCount val="2"/>
                <c:pt idx="0">
                  <c:v>0</c:v>
                </c:pt>
                <c:pt idx="1">
                  <c:v>126</c:v>
                </c:pt>
              </c:numCache>
            </c:numRef>
          </c:yVal>
        </c:ser>
        <c:ser>
          <c:idx val="9"/>
          <c:order val="3"/>
          <c:tx>
            <c:strRef>
              <c:f>'Юристы 2 RHS'!$D$24</c:f>
              <c:strCache>
                <c:ptCount val="1"/>
                <c:pt idx="0">
                  <c:v>Окончание нарушения</c:v>
                </c:pt>
              </c:strCache>
            </c:strRef>
          </c:tx>
          <c:spPr>
            <a:ln w="9525">
              <a:solidFill>
                <a:schemeClr val="bg1">
                  <a:lumMod val="50000"/>
                </a:schemeClr>
              </a:solidFill>
              <a:prstDash val="sysDash"/>
            </a:ln>
          </c:spPr>
          <c:marker>
            <c:symbol val="none"/>
          </c:marker>
          <c:xVal>
            <c:numRef>
              <c:f>'Юристы 2 RHS'!$D$25:$D$26</c:f>
              <c:numCache>
                <c:formatCode>General</c:formatCode>
                <c:ptCount val="2"/>
                <c:pt idx="0">
                  <c:v>7</c:v>
                </c:pt>
                <c:pt idx="1">
                  <c:v>7</c:v>
                </c:pt>
              </c:numCache>
            </c:numRef>
          </c:xVal>
          <c:yVal>
            <c:numRef>
              <c:f>'Юристы 2 RHS'!$E$25:$E$26</c:f>
              <c:numCache>
                <c:formatCode>General</c:formatCode>
                <c:ptCount val="2"/>
                <c:pt idx="0">
                  <c:v>0</c:v>
                </c:pt>
                <c:pt idx="1">
                  <c:v>110</c:v>
                </c:pt>
              </c:numCache>
            </c:numRef>
          </c:yVal>
        </c:ser>
        <c:axId val="133692800"/>
        <c:axId val="133691264"/>
      </c:scatterChart>
      <c:catAx>
        <c:axId val="133671552"/>
        <c:scaling>
          <c:orientation val="minMax"/>
        </c:scaling>
        <c:axPos val="b"/>
        <c:numFmt formatCode="General" sourceLinked="1"/>
        <c:tickLblPos val="nextTo"/>
        <c:crossAx val="133689728"/>
        <c:crosses val="autoZero"/>
        <c:auto val="1"/>
        <c:lblAlgn val="ctr"/>
        <c:lblOffset val="100"/>
        <c:tickMarkSkip val="3"/>
      </c:catAx>
      <c:valAx>
        <c:axId val="133689728"/>
        <c:scaling>
          <c:orientation val="minMax"/>
          <c:max val="140"/>
          <c:min val="0"/>
        </c:scaling>
        <c:axPos val="l"/>
        <c:majorGridlines/>
        <c:numFmt formatCode="#,##0_);\(#,##0\)" sourceLinked="0"/>
        <c:tickLblPos val="nextTo"/>
        <c:crossAx val="133671552"/>
        <c:crosses val="autoZero"/>
        <c:crossBetween val="between"/>
        <c:majorUnit val="50"/>
      </c:valAx>
      <c:valAx>
        <c:axId val="133691264"/>
        <c:scaling>
          <c:orientation val="minMax"/>
        </c:scaling>
        <c:delete val="1"/>
        <c:axPos val="r"/>
        <c:numFmt formatCode="General" sourceLinked="1"/>
        <c:tickLblPos val="none"/>
        <c:crossAx val="133692800"/>
        <c:crosses val="max"/>
        <c:crossBetween val="between"/>
      </c:valAx>
      <c:catAx>
        <c:axId val="133692800"/>
        <c:scaling>
          <c:orientation val="minMax"/>
        </c:scaling>
        <c:delete val="1"/>
        <c:axPos val="t"/>
        <c:numFmt formatCode="General" sourceLinked="1"/>
        <c:tickLblPos val="none"/>
        <c:crossAx val="133691264"/>
        <c:crosses val="max"/>
        <c:auto val="1"/>
        <c:lblAlgn val="ctr"/>
        <c:lblOffset val="100"/>
      </c:catAx>
      <c:spPr>
        <a:solidFill>
          <a:schemeClr val="bg1">
            <a:lumMod val="85000"/>
          </a:schemeClr>
        </a:solidFill>
      </c:spPr>
    </c:plotArea>
    <c:legend>
      <c:legendPos val="b"/>
      <c:legendEntry>
        <c:idx val="0"/>
        <c:delete val="1"/>
      </c:legendEntry>
      <c:legendEntry>
        <c:idx val="1"/>
        <c:delete val="1"/>
      </c:legendEntry>
      <c:legendEntry>
        <c:idx val="4"/>
        <c:delete val="1"/>
      </c:legendEntry>
      <c:legendEntry>
        <c:idx val="5"/>
        <c:delete val="1"/>
      </c:legendEntry>
    </c:legend>
    <c:plotVisOnly val="1"/>
    <c:dispBlanksAs val="gap"/>
  </c:chart>
  <c:spPr>
    <a:solidFill>
      <a:schemeClr val="bg1">
        <a:lumMod val="85000"/>
      </a:schemeClr>
    </a:solidFill>
    <a:ln>
      <a:solidFill>
        <a:schemeClr val="tx1"/>
      </a:solidFill>
    </a:ln>
  </c:spPr>
  <c:txPr>
    <a:bodyPr/>
    <a:lstStyle/>
    <a:p>
      <a:pPr>
        <a:defRPr sz="1000">
          <a:latin typeface="Arial" panose="020B0604020202020204" pitchFamily="34" charset="0"/>
          <a:cs typeface="Arial" panose="020B0604020202020204" pitchFamily="34" charset="0"/>
        </a:defRPr>
      </a:pPr>
      <a:endParaRPr lang="ru-RU"/>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847" y="285845"/>
          <a:ext cx="1555583" cy="238739"/>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0.30537</cdr:x>
      <cdr:y>0.15295</cdr:y>
    </cdr:from>
    <cdr:to>
      <cdr:x>0.89042</cdr:x>
      <cdr:y>0.22663</cdr:y>
    </cdr:to>
    <cdr:sp macro="" textlink="">
      <cdr:nvSpPr>
        <cdr:cNvPr id="7" name="TextBox 1"/>
        <cdr:cNvSpPr txBox="1"/>
      </cdr:nvSpPr>
      <cdr:spPr>
        <a:xfrm xmlns:a="http://schemas.openxmlformats.org/drawingml/2006/main">
          <a:off x="802399" y="495523"/>
          <a:ext cx="1537295" cy="23870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0.14258</cdr:x>
      <cdr:y>0.02352</cdr:y>
    </cdr:from>
    <cdr:to>
      <cdr:x>0.98828</cdr:x>
      <cdr:y>0.0972</cdr:y>
    </cdr:to>
    <cdr:sp macro="" textlink="">
      <cdr:nvSpPr>
        <cdr:cNvPr id="8" name="TextBox 1"/>
        <cdr:cNvSpPr txBox="1"/>
      </cdr:nvSpPr>
      <cdr:spPr>
        <a:xfrm xmlns:a="http://schemas.openxmlformats.org/drawingml/2006/main">
          <a:off x="374650" y="76199"/>
          <a:ext cx="2222184" cy="238707"/>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baseline="0">
              <a:latin typeface="Arial" panose="020B0604020202020204" pitchFamily="34" charset="0"/>
              <a:cs typeface="Arial" panose="020B0604020202020204" pitchFamily="34" charset="0"/>
            </a:rPr>
            <a:t>Динамика доли рынка</a:t>
          </a:r>
          <a:endParaRPr lang="en-GB" sz="1000" b="1">
            <a:latin typeface="Arial" panose="020B0604020202020204" pitchFamily="34" charset="0"/>
            <a:cs typeface="Arial" panose="020B0604020202020204"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0.14619</cdr:x>
      <cdr:y>0.08823</cdr:y>
    </cdr:from>
    <cdr:to>
      <cdr:x>0.7382</cdr:x>
      <cdr:y>0.16192</cdr:y>
    </cdr:to>
    <cdr:sp macro="" textlink="">
      <cdr:nvSpPr>
        <cdr:cNvPr id="6" name="TextBox 1"/>
        <cdr:cNvSpPr txBox="1"/>
      </cdr:nvSpPr>
      <cdr:spPr>
        <a:xfrm xmlns:a="http://schemas.openxmlformats.org/drawingml/2006/main">
          <a:off x="384175" y="285872"/>
          <a:ext cx="1555802" cy="23873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0.27275</cdr:x>
      <cdr:y>0.15295</cdr:y>
    </cdr:from>
    <cdr:to>
      <cdr:x>0.8578</cdr:x>
      <cdr:y>0.22663</cdr:y>
    </cdr:to>
    <cdr:sp macro="" textlink="">
      <cdr:nvSpPr>
        <cdr:cNvPr id="7" name="TextBox 1"/>
        <cdr:cNvSpPr txBox="1"/>
      </cdr:nvSpPr>
      <cdr:spPr>
        <a:xfrm xmlns:a="http://schemas.openxmlformats.org/drawingml/2006/main">
          <a:off x="716790" y="495543"/>
          <a:ext cx="1537511" cy="238737"/>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0.08458</cdr:x>
      <cdr:y>0.02352</cdr:y>
    </cdr:from>
    <cdr:to>
      <cdr:x>0.95566</cdr:x>
      <cdr:y>0.0972</cdr:y>
    </cdr:to>
    <cdr:sp macro="" textlink="">
      <cdr:nvSpPr>
        <cdr:cNvPr id="8" name="TextBox 1"/>
        <cdr:cNvSpPr txBox="1"/>
      </cdr:nvSpPr>
      <cdr:spPr>
        <a:xfrm xmlns:a="http://schemas.openxmlformats.org/drawingml/2006/main">
          <a:off x="222245" y="76199"/>
          <a:ext cx="2288876" cy="238707"/>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Динамика</a:t>
          </a:r>
          <a:r>
            <a:rPr lang="ru-RU" sz="1000" b="1" baseline="0">
              <a:latin typeface="Arial" panose="020B0604020202020204" pitchFamily="34" charset="0"/>
              <a:cs typeface="Arial" panose="020B0604020202020204" pitchFamily="34" charset="0"/>
            </a:rPr>
            <a:t> прибыли</a:t>
          </a:r>
          <a:endParaRPr lang="en-GB" sz="1000" b="1">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912" y="285865"/>
          <a:ext cx="1555803"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0.30537</cdr:x>
      <cdr:y>0.15295</cdr:y>
    </cdr:from>
    <cdr:to>
      <cdr:x>0.89042</cdr:x>
      <cdr:y>0.22663</cdr:y>
    </cdr:to>
    <cdr:sp macro="" textlink="">
      <cdr:nvSpPr>
        <cdr:cNvPr id="7" name="TextBox 1"/>
        <cdr:cNvSpPr txBox="1"/>
      </cdr:nvSpPr>
      <cdr:spPr>
        <a:xfrm xmlns:a="http://schemas.openxmlformats.org/drawingml/2006/main">
          <a:off x="802512" y="495558"/>
          <a:ext cx="1537511" cy="238723"/>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0.22592</cdr:x>
      <cdr:y>0.01568</cdr:y>
    </cdr:from>
    <cdr:to>
      <cdr:x>0.81793</cdr:x>
      <cdr:y>0.08937</cdr:y>
    </cdr:to>
    <cdr:sp macro="" textlink="">
      <cdr:nvSpPr>
        <cdr:cNvPr id="5" name="TextBox 1"/>
        <cdr:cNvSpPr txBox="1"/>
      </cdr:nvSpPr>
      <cdr:spPr>
        <a:xfrm xmlns:a="http://schemas.openxmlformats.org/drawingml/2006/main">
          <a:off x="593725" y="50800"/>
          <a:ext cx="1555802"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Количество</a:t>
          </a:r>
          <a:r>
            <a:rPr lang="ru-RU" sz="1000" b="1" baseline="0">
              <a:latin typeface="Arial" panose="020B0604020202020204" pitchFamily="34" charset="0"/>
              <a:cs typeface="Arial" panose="020B0604020202020204" pitchFamily="34" charset="0"/>
            </a:rPr>
            <a:t> клиентов</a:t>
          </a:r>
          <a:endParaRPr lang="en-GB" sz="1000" b="1">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912" y="285865"/>
          <a:ext cx="1555803"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0.30537</cdr:x>
      <cdr:y>0.15295</cdr:y>
    </cdr:from>
    <cdr:to>
      <cdr:x>0.89042</cdr:x>
      <cdr:y>0.22663</cdr:y>
    </cdr:to>
    <cdr:sp macro="" textlink="">
      <cdr:nvSpPr>
        <cdr:cNvPr id="7" name="TextBox 1"/>
        <cdr:cNvSpPr txBox="1"/>
      </cdr:nvSpPr>
      <cdr:spPr>
        <a:xfrm xmlns:a="http://schemas.openxmlformats.org/drawingml/2006/main">
          <a:off x="802512" y="495558"/>
          <a:ext cx="1537511" cy="238723"/>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0.01812</cdr:x>
      <cdr:y>0.01568</cdr:y>
    </cdr:from>
    <cdr:to>
      <cdr:x>0.97497</cdr:x>
      <cdr:y>0.08937</cdr:y>
    </cdr:to>
    <cdr:sp macro="" textlink="">
      <cdr:nvSpPr>
        <cdr:cNvPr id="5" name="TextBox 1"/>
        <cdr:cNvSpPr txBox="1"/>
      </cdr:nvSpPr>
      <cdr:spPr>
        <a:xfrm xmlns:a="http://schemas.openxmlformats.org/drawingml/2006/main">
          <a:off x="47625" y="50803"/>
          <a:ext cx="2514599"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Динамика прибыли, млн. руб.</a:t>
          </a:r>
          <a:endParaRPr lang="en-GB" sz="1000" b="1">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912" y="285865"/>
          <a:ext cx="1555803"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0.38873</cdr:x>
      <cdr:y>0.15295</cdr:y>
    </cdr:from>
    <cdr:to>
      <cdr:x>0.97378</cdr:x>
      <cdr:y>0.22663</cdr:y>
    </cdr:to>
    <cdr:sp macro="" textlink="">
      <cdr:nvSpPr>
        <cdr:cNvPr id="7" name="TextBox 1"/>
        <cdr:cNvSpPr txBox="1"/>
      </cdr:nvSpPr>
      <cdr:spPr>
        <a:xfrm xmlns:a="http://schemas.openxmlformats.org/drawingml/2006/main">
          <a:off x="1021587" y="495558"/>
          <a:ext cx="1537512" cy="238723"/>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0.02175</cdr:x>
      <cdr:y>0.01568</cdr:y>
    </cdr:from>
    <cdr:to>
      <cdr:x>0.96772</cdr:x>
      <cdr:y>0.08937</cdr:y>
    </cdr:to>
    <cdr:sp macro="" textlink="">
      <cdr:nvSpPr>
        <cdr:cNvPr id="5" name="TextBox 1"/>
        <cdr:cNvSpPr txBox="1"/>
      </cdr:nvSpPr>
      <cdr:spPr>
        <a:xfrm xmlns:a="http://schemas.openxmlformats.org/drawingml/2006/main">
          <a:off x="57151" y="50803"/>
          <a:ext cx="2486024"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Динамика</a:t>
          </a:r>
          <a:r>
            <a:rPr lang="ru-RU" sz="1000" b="1" baseline="0">
              <a:latin typeface="Arial" panose="020B0604020202020204" pitchFamily="34" charset="0"/>
              <a:cs typeface="Arial" panose="020B0604020202020204" pitchFamily="34" charset="0"/>
            </a:rPr>
            <a:t> доли рынка</a:t>
          </a:r>
          <a:endParaRPr lang="en-GB" sz="1000" b="1">
            <a:latin typeface="Arial" panose="020B0604020202020204" pitchFamily="34" charset="0"/>
            <a:cs typeface="Arial" panose="020B0604020202020204"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912" y="285865"/>
          <a:ext cx="1555803"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0.39236</cdr:x>
      <cdr:y>0.15295</cdr:y>
    </cdr:from>
    <cdr:to>
      <cdr:x>0.97741</cdr:x>
      <cdr:y>0.22663</cdr:y>
    </cdr:to>
    <cdr:sp macro="" textlink="">
      <cdr:nvSpPr>
        <cdr:cNvPr id="7" name="TextBox 1"/>
        <cdr:cNvSpPr txBox="1"/>
      </cdr:nvSpPr>
      <cdr:spPr>
        <a:xfrm xmlns:a="http://schemas.openxmlformats.org/drawingml/2006/main">
          <a:off x="1031112" y="495558"/>
          <a:ext cx="1537512" cy="238723"/>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0.01812</cdr:x>
      <cdr:y>0.01568</cdr:y>
    </cdr:from>
    <cdr:to>
      <cdr:x>0.97497</cdr:x>
      <cdr:y>0.08937</cdr:y>
    </cdr:to>
    <cdr:sp macro="" textlink="">
      <cdr:nvSpPr>
        <cdr:cNvPr id="5" name="TextBox 1"/>
        <cdr:cNvSpPr txBox="1"/>
      </cdr:nvSpPr>
      <cdr:spPr>
        <a:xfrm xmlns:a="http://schemas.openxmlformats.org/drawingml/2006/main">
          <a:off x="47625" y="50803"/>
          <a:ext cx="2514599"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Динамика прибыли, млн. руб.</a:t>
          </a:r>
          <a:endParaRPr lang="en-GB" sz="1000" b="1">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3CD19-F0D2-4797-A039-6073B6780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197</Pages>
  <Words>73836</Words>
  <Characters>420870</Characters>
  <Application>Microsoft Office Word</Application>
  <DocSecurity>0</DocSecurity>
  <Lines>3507</Lines>
  <Paragraphs>987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Кокунова Юлия Евгеньевна</dc:creator>
  <cp:lastModifiedBy>Соловьев Евгениц</cp:lastModifiedBy>
  <cp:revision>2</cp:revision>
  <cp:lastPrinted>2017-05-30T15:02:00Z</cp:lastPrinted>
  <dcterms:created xsi:type="dcterms:W3CDTF">2018-05-03T12:13:00Z</dcterms:created>
  <dcterms:modified xsi:type="dcterms:W3CDTF">2018-05-03T12:13:00Z</dcterms:modified>
</cp:coreProperties>
</file>